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24CEFD" w14:textId="482CBCF8" w:rsidR="00B303E9" w:rsidRDefault="00207625" w:rsidP="00AB7C9D">
      <w:pPr>
        <w:pStyle w:val="Heading1"/>
        <w:jc w:val="center"/>
      </w:pPr>
      <w:r>
        <w:t>Processing text</w:t>
      </w:r>
      <w:r w:rsidR="00E13ADA">
        <w:t xml:space="preserve"> in </w:t>
      </w:r>
      <w:r w:rsidR="00E70C7A">
        <w:t>writing</w:t>
      </w:r>
    </w:p>
    <w:p w14:paraId="5AD78F65" w14:textId="6CEB85B7" w:rsidR="00B303E9" w:rsidRPr="00537455" w:rsidRDefault="00B303E9" w:rsidP="00B303E9">
      <w:pPr>
        <w:rPr>
          <w:i/>
          <w:iCs/>
          <w:sz w:val="22"/>
          <w:szCs w:val="22"/>
        </w:rPr>
      </w:pPr>
      <w:r w:rsidRPr="00537455">
        <w:rPr>
          <w:i/>
          <w:iCs/>
          <w:sz w:val="22"/>
          <w:szCs w:val="22"/>
        </w:rPr>
        <w:t xml:space="preserve">Look at the descriptors below and decide which CEFR level (pre-A1 to C2) each one </w:t>
      </w:r>
      <w:r w:rsidR="0075335C" w:rsidRPr="00537455">
        <w:rPr>
          <w:i/>
          <w:iCs/>
          <w:sz w:val="22"/>
          <w:szCs w:val="22"/>
        </w:rPr>
        <w:t>r</w:t>
      </w:r>
      <w:r w:rsidRPr="00537455">
        <w:rPr>
          <w:i/>
          <w:iCs/>
          <w:sz w:val="22"/>
          <w:szCs w:val="22"/>
        </w:rPr>
        <w:t xml:space="preserve">epresents. </w:t>
      </w:r>
      <w:r w:rsidR="00EE6DA8" w:rsidRPr="00537455">
        <w:rPr>
          <w:i/>
          <w:iCs/>
          <w:sz w:val="22"/>
          <w:szCs w:val="22"/>
        </w:rPr>
        <w:t>Some of the answers have</w:t>
      </w:r>
      <w:r w:rsidR="0039580A" w:rsidRPr="00537455">
        <w:rPr>
          <w:i/>
          <w:iCs/>
          <w:sz w:val="22"/>
          <w:szCs w:val="22"/>
        </w:rPr>
        <w:t xml:space="preserve"> been done for you.</w:t>
      </w:r>
    </w:p>
    <w:tbl>
      <w:tblPr>
        <w:tblStyle w:val="GridTable1Light-Accent5"/>
        <w:tblW w:w="0" w:type="auto"/>
        <w:jc w:val="center"/>
        <w:tblLook w:val="04A0" w:firstRow="1" w:lastRow="0" w:firstColumn="1" w:lastColumn="0" w:noHBand="0" w:noVBand="1"/>
      </w:tblPr>
      <w:tblGrid>
        <w:gridCol w:w="5460"/>
      </w:tblGrid>
      <w:tr w:rsidR="00B303E9" w14:paraId="2E7245AC" w14:textId="77777777" w:rsidTr="0026432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460" w:type="dxa"/>
          </w:tcPr>
          <w:p w14:paraId="02B9D6CE" w14:textId="74941ED2" w:rsidR="00B303E9" w:rsidRDefault="00B303E9" w:rsidP="00B303E9">
            <w:pPr>
              <w:jc w:val="center"/>
            </w:pPr>
            <w:r w:rsidRPr="00B303E9">
              <w:rPr>
                <w:strike/>
              </w:rPr>
              <w:t>Pre-A1</w:t>
            </w:r>
            <w:r>
              <w:t xml:space="preserve">     A1     A2     B</w:t>
            </w:r>
            <w:r w:rsidR="00EE6DA8">
              <w:t xml:space="preserve">1     </w:t>
            </w:r>
            <w:proofErr w:type="spellStart"/>
            <w:r w:rsidR="00EE6DA8" w:rsidRPr="00EE6DA8">
              <w:rPr>
                <w:strike/>
              </w:rPr>
              <w:t>B1</w:t>
            </w:r>
            <w:proofErr w:type="spellEnd"/>
            <w:r w:rsidR="00EE6DA8" w:rsidRPr="00EE6DA8">
              <w:rPr>
                <w:strike/>
              </w:rPr>
              <w:t>+</w:t>
            </w:r>
            <w:r>
              <w:t xml:space="preserve">     B2</w:t>
            </w:r>
            <w:r w:rsidR="00EE6DA8">
              <w:t xml:space="preserve">     </w:t>
            </w:r>
            <w:proofErr w:type="spellStart"/>
            <w:r w:rsidR="00EE6DA8" w:rsidRPr="00EE6DA8">
              <w:rPr>
                <w:strike/>
              </w:rPr>
              <w:t>B2</w:t>
            </w:r>
            <w:proofErr w:type="spellEnd"/>
            <w:r w:rsidR="00EE6DA8" w:rsidRPr="00EE6DA8">
              <w:rPr>
                <w:strike/>
              </w:rPr>
              <w:t>+</w:t>
            </w:r>
            <w:r>
              <w:t xml:space="preserve">     C1     C2</w:t>
            </w:r>
          </w:p>
        </w:tc>
      </w:tr>
    </w:tbl>
    <w:p w14:paraId="3F05E987" w14:textId="77777777" w:rsidR="00B303E9" w:rsidRPr="00537455" w:rsidRDefault="00B303E9" w:rsidP="00B303E9">
      <w:pPr>
        <w:rPr>
          <w:sz w:val="10"/>
          <w:szCs w:val="10"/>
        </w:rPr>
      </w:pPr>
    </w:p>
    <w:tbl>
      <w:tblPr>
        <w:tblStyle w:val="GridTable1Light-Accent5"/>
        <w:tblW w:w="15588" w:type="dxa"/>
        <w:jc w:val="center"/>
        <w:tblLook w:val="04A0" w:firstRow="1" w:lastRow="0" w:firstColumn="1" w:lastColumn="0" w:noHBand="0" w:noVBand="1"/>
      </w:tblPr>
      <w:tblGrid>
        <w:gridCol w:w="988"/>
        <w:gridCol w:w="14600"/>
      </w:tblGrid>
      <w:tr w:rsidR="00B303E9" w:rsidRPr="00EE6DA8" w14:paraId="24D227A3" w14:textId="77777777" w:rsidTr="00B66AE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8" w:type="dxa"/>
            <w:tcBorders>
              <w:top w:val="single" w:sz="4" w:space="0" w:color="auto"/>
              <w:left w:val="single" w:sz="4" w:space="0" w:color="auto"/>
              <w:bottom w:val="single" w:sz="4" w:space="0" w:color="auto"/>
            </w:tcBorders>
          </w:tcPr>
          <w:p w14:paraId="0291FC5A" w14:textId="7E0FB4CD" w:rsidR="00B303E9" w:rsidRPr="00EE6DA8" w:rsidRDefault="00B303E9" w:rsidP="00B303E9">
            <w:pPr>
              <w:jc w:val="center"/>
              <w:rPr>
                <w:sz w:val="22"/>
                <w:szCs w:val="22"/>
              </w:rPr>
            </w:pPr>
            <w:r w:rsidRPr="00EE6DA8">
              <w:rPr>
                <w:sz w:val="22"/>
                <w:szCs w:val="22"/>
              </w:rPr>
              <w:t>CEFR level</w:t>
            </w:r>
          </w:p>
        </w:tc>
        <w:tc>
          <w:tcPr>
            <w:tcW w:w="14600" w:type="dxa"/>
            <w:tcBorders>
              <w:top w:val="single" w:sz="4" w:space="0" w:color="auto"/>
              <w:bottom w:val="single" w:sz="4" w:space="0" w:color="auto"/>
              <w:right w:val="single" w:sz="4" w:space="0" w:color="auto"/>
            </w:tcBorders>
          </w:tcPr>
          <w:p w14:paraId="358AB1C2" w14:textId="18A4B0C8" w:rsidR="00B303E9" w:rsidRPr="00EE6DA8" w:rsidRDefault="00B303E9" w:rsidP="00B303E9">
            <w:pPr>
              <w:jc w:val="center"/>
              <w:cnfStyle w:val="100000000000" w:firstRow="1" w:lastRow="0" w:firstColumn="0" w:lastColumn="0" w:oddVBand="0" w:evenVBand="0" w:oddHBand="0" w:evenHBand="0" w:firstRowFirstColumn="0" w:firstRowLastColumn="0" w:lastRowFirstColumn="0" w:lastRowLastColumn="0"/>
              <w:rPr>
                <w:sz w:val="22"/>
                <w:szCs w:val="22"/>
              </w:rPr>
            </w:pPr>
            <w:r w:rsidRPr="00EE6DA8">
              <w:rPr>
                <w:sz w:val="22"/>
                <w:szCs w:val="22"/>
              </w:rPr>
              <w:t>Can-do descriptor</w:t>
            </w:r>
          </w:p>
        </w:tc>
      </w:tr>
      <w:tr w:rsidR="00B303E9" w:rsidRPr="00EE6DA8" w14:paraId="1FCE7CF7" w14:textId="77777777" w:rsidTr="00B66AE8">
        <w:trPr>
          <w:jc w:val="center"/>
        </w:trPr>
        <w:tc>
          <w:tcPr>
            <w:cnfStyle w:val="001000000000" w:firstRow="0" w:lastRow="0" w:firstColumn="1" w:lastColumn="0" w:oddVBand="0" w:evenVBand="0" w:oddHBand="0" w:evenHBand="0" w:firstRowFirstColumn="0" w:firstRowLastColumn="0" w:lastRowFirstColumn="0" w:lastRowLastColumn="0"/>
            <w:tcW w:w="988" w:type="dxa"/>
            <w:tcBorders>
              <w:top w:val="single" w:sz="4" w:space="0" w:color="auto"/>
              <w:left w:val="single" w:sz="4" w:space="0" w:color="auto"/>
              <w:bottom w:val="single" w:sz="4" w:space="0" w:color="auto"/>
            </w:tcBorders>
          </w:tcPr>
          <w:p w14:paraId="47CDE59E" w14:textId="2641A397" w:rsidR="00B303E9" w:rsidRPr="00EE6DA8" w:rsidRDefault="00B303E9" w:rsidP="00B303E9">
            <w:pPr>
              <w:rPr>
                <w:color w:val="FF0000"/>
                <w:sz w:val="22"/>
                <w:szCs w:val="22"/>
              </w:rPr>
            </w:pPr>
          </w:p>
        </w:tc>
        <w:tc>
          <w:tcPr>
            <w:tcW w:w="14600" w:type="dxa"/>
            <w:tcBorders>
              <w:top w:val="single" w:sz="4" w:space="0" w:color="auto"/>
              <w:bottom w:val="single" w:sz="4" w:space="0" w:color="auto"/>
              <w:right w:val="single" w:sz="4" w:space="0" w:color="auto"/>
            </w:tcBorders>
          </w:tcPr>
          <w:p w14:paraId="6F3C253E" w14:textId="77777777" w:rsidR="00EE2362" w:rsidRPr="00EE6DA8" w:rsidRDefault="00EE2362" w:rsidP="00B303E9">
            <w:pPr>
              <w:cnfStyle w:val="000000000000" w:firstRow="0" w:lastRow="0" w:firstColumn="0" w:lastColumn="0" w:oddVBand="0" w:evenVBand="0" w:oddHBand="0" w:evenHBand="0" w:firstRowFirstColumn="0" w:firstRowLastColumn="0" w:lastRowFirstColumn="0" w:lastRowLastColumn="0"/>
              <w:rPr>
                <w:sz w:val="22"/>
                <w:szCs w:val="22"/>
              </w:rPr>
            </w:pPr>
            <w:r w:rsidRPr="00EE6DA8">
              <w:rPr>
                <w:sz w:val="22"/>
                <w:szCs w:val="22"/>
              </w:rPr>
              <w:t xml:space="preserve">Can summarise in writing (in Language B) long, complex texts (in Language A), interpreting the content appropriately, provided they can occasionally check the precise meaning of unusual, technical terms. </w:t>
            </w:r>
          </w:p>
          <w:p w14:paraId="40EEAF79" w14:textId="6C2C0156" w:rsidR="00B303E9" w:rsidRPr="00EE6DA8" w:rsidRDefault="00EE2362" w:rsidP="00B303E9">
            <w:pPr>
              <w:cnfStyle w:val="000000000000" w:firstRow="0" w:lastRow="0" w:firstColumn="0" w:lastColumn="0" w:oddVBand="0" w:evenVBand="0" w:oddHBand="0" w:evenHBand="0" w:firstRowFirstColumn="0" w:firstRowLastColumn="0" w:lastRowFirstColumn="0" w:lastRowLastColumn="0"/>
              <w:rPr>
                <w:sz w:val="22"/>
                <w:szCs w:val="22"/>
              </w:rPr>
            </w:pPr>
            <w:r w:rsidRPr="00EE6DA8">
              <w:rPr>
                <w:sz w:val="22"/>
                <w:szCs w:val="22"/>
              </w:rPr>
              <w:t>Can summarise in writing a long and complex text (in Language A) (e.g. an academic article, article providing political analysis, novel extract, editorial, literary review, report or extract from a scientific book) for a specific audience, respecting the style and register of the original.</w:t>
            </w:r>
          </w:p>
        </w:tc>
      </w:tr>
      <w:tr w:rsidR="002A251A" w:rsidRPr="00EE6DA8" w14:paraId="6D149BD7" w14:textId="77777777" w:rsidTr="00B66AE8">
        <w:trPr>
          <w:jc w:val="center"/>
        </w:trPr>
        <w:tc>
          <w:tcPr>
            <w:cnfStyle w:val="001000000000" w:firstRow="0" w:lastRow="0" w:firstColumn="1" w:lastColumn="0" w:oddVBand="0" w:evenVBand="0" w:oddHBand="0" w:evenHBand="0" w:firstRowFirstColumn="0" w:firstRowLastColumn="0" w:lastRowFirstColumn="0" w:lastRowLastColumn="0"/>
            <w:tcW w:w="988" w:type="dxa"/>
            <w:tcBorders>
              <w:top w:val="single" w:sz="4" w:space="0" w:color="auto"/>
              <w:left w:val="single" w:sz="4" w:space="0" w:color="auto"/>
              <w:bottom w:val="single" w:sz="4" w:space="0" w:color="auto"/>
            </w:tcBorders>
          </w:tcPr>
          <w:p w14:paraId="10C315D4" w14:textId="6992F83C" w:rsidR="002A251A" w:rsidRPr="00EE6DA8" w:rsidRDefault="00206F25" w:rsidP="00B303E9">
            <w:pPr>
              <w:rPr>
                <w:color w:val="FF0000"/>
                <w:sz w:val="22"/>
                <w:szCs w:val="22"/>
              </w:rPr>
            </w:pPr>
            <w:r w:rsidRPr="00E30C83">
              <w:rPr>
                <w:sz w:val="22"/>
                <w:szCs w:val="22"/>
              </w:rPr>
              <w:t>B1+</w:t>
            </w:r>
          </w:p>
        </w:tc>
        <w:tc>
          <w:tcPr>
            <w:tcW w:w="14600" w:type="dxa"/>
            <w:tcBorders>
              <w:top w:val="single" w:sz="4" w:space="0" w:color="auto"/>
              <w:bottom w:val="single" w:sz="4" w:space="0" w:color="auto"/>
              <w:right w:val="single" w:sz="4" w:space="0" w:color="auto"/>
            </w:tcBorders>
          </w:tcPr>
          <w:p w14:paraId="27290E41" w14:textId="1DB1BBD9" w:rsidR="002A251A" w:rsidRPr="00EE6DA8" w:rsidRDefault="00206F25" w:rsidP="00B66AE8">
            <w:pPr>
              <w:cnfStyle w:val="000000000000" w:firstRow="0" w:lastRow="0" w:firstColumn="0" w:lastColumn="0" w:oddVBand="0" w:evenVBand="0" w:oddHBand="0" w:evenHBand="0" w:firstRowFirstColumn="0" w:firstRowLastColumn="0" w:lastRowFirstColumn="0" w:lastRowLastColumn="0"/>
              <w:rPr>
                <w:sz w:val="22"/>
                <w:szCs w:val="22"/>
              </w:rPr>
            </w:pPr>
            <w:r w:rsidRPr="00EE6DA8">
              <w:rPr>
                <w:sz w:val="22"/>
                <w:szCs w:val="22"/>
              </w:rPr>
              <w:t>Can summarise in writing (in Language B) the information and arguments contained in texts (in Language A) on subjects of general or personal interest.</w:t>
            </w:r>
          </w:p>
        </w:tc>
      </w:tr>
      <w:tr w:rsidR="00B303E9" w:rsidRPr="00EE6DA8" w14:paraId="05F6D554" w14:textId="77777777" w:rsidTr="00B66AE8">
        <w:trPr>
          <w:jc w:val="center"/>
        </w:trPr>
        <w:tc>
          <w:tcPr>
            <w:cnfStyle w:val="001000000000" w:firstRow="0" w:lastRow="0" w:firstColumn="1" w:lastColumn="0" w:oddVBand="0" w:evenVBand="0" w:oddHBand="0" w:evenHBand="0" w:firstRowFirstColumn="0" w:firstRowLastColumn="0" w:lastRowFirstColumn="0" w:lastRowLastColumn="0"/>
            <w:tcW w:w="988" w:type="dxa"/>
            <w:tcBorders>
              <w:top w:val="single" w:sz="4" w:space="0" w:color="auto"/>
              <w:left w:val="single" w:sz="4" w:space="0" w:color="auto"/>
              <w:bottom w:val="single" w:sz="4" w:space="0" w:color="auto"/>
            </w:tcBorders>
          </w:tcPr>
          <w:p w14:paraId="4F9CD88F" w14:textId="39503B1D" w:rsidR="00B303E9" w:rsidRPr="00EE6DA8" w:rsidRDefault="00B303E9" w:rsidP="00B303E9">
            <w:pPr>
              <w:rPr>
                <w:sz w:val="22"/>
                <w:szCs w:val="22"/>
              </w:rPr>
            </w:pPr>
            <w:r w:rsidRPr="00EE6DA8">
              <w:rPr>
                <w:sz w:val="22"/>
                <w:szCs w:val="22"/>
              </w:rPr>
              <w:t>Pre-A1</w:t>
            </w:r>
          </w:p>
        </w:tc>
        <w:tc>
          <w:tcPr>
            <w:tcW w:w="14600" w:type="dxa"/>
            <w:tcBorders>
              <w:top w:val="single" w:sz="4" w:space="0" w:color="auto"/>
              <w:bottom w:val="single" w:sz="4" w:space="0" w:color="auto"/>
              <w:right w:val="single" w:sz="4" w:space="0" w:color="auto"/>
            </w:tcBorders>
          </w:tcPr>
          <w:p w14:paraId="4F2CD511" w14:textId="7F757871" w:rsidR="00B303E9" w:rsidRPr="00EE6DA8" w:rsidRDefault="00B303E9" w:rsidP="00B303E9">
            <w:pPr>
              <w:cnfStyle w:val="000000000000" w:firstRow="0" w:lastRow="0" w:firstColumn="0" w:lastColumn="0" w:oddVBand="0" w:evenVBand="0" w:oddHBand="0" w:evenHBand="0" w:firstRowFirstColumn="0" w:firstRowLastColumn="0" w:lastRowFirstColumn="0" w:lastRowLastColumn="0"/>
              <w:rPr>
                <w:i/>
                <w:iCs/>
                <w:sz w:val="22"/>
                <w:szCs w:val="22"/>
              </w:rPr>
            </w:pPr>
            <w:r w:rsidRPr="00EE6DA8">
              <w:rPr>
                <w:i/>
                <w:iCs/>
                <w:sz w:val="22"/>
                <w:szCs w:val="22"/>
              </w:rPr>
              <w:t>No descriptors available</w:t>
            </w:r>
            <w:r w:rsidR="0039580A" w:rsidRPr="00EE6DA8">
              <w:rPr>
                <w:i/>
                <w:iCs/>
                <w:sz w:val="22"/>
                <w:szCs w:val="22"/>
              </w:rPr>
              <w:t>.</w:t>
            </w:r>
          </w:p>
        </w:tc>
      </w:tr>
      <w:tr w:rsidR="00AB7C9D" w:rsidRPr="00EE6DA8" w14:paraId="468EEB26" w14:textId="77777777" w:rsidTr="00B66AE8">
        <w:trPr>
          <w:jc w:val="center"/>
        </w:trPr>
        <w:tc>
          <w:tcPr>
            <w:cnfStyle w:val="001000000000" w:firstRow="0" w:lastRow="0" w:firstColumn="1" w:lastColumn="0" w:oddVBand="0" w:evenVBand="0" w:oddHBand="0" w:evenHBand="0" w:firstRowFirstColumn="0" w:firstRowLastColumn="0" w:lastRowFirstColumn="0" w:lastRowLastColumn="0"/>
            <w:tcW w:w="988" w:type="dxa"/>
            <w:tcBorders>
              <w:top w:val="single" w:sz="4" w:space="0" w:color="auto"/>
              <w:left w:val="single" w:sz="4" w:space="0" w:color="auto"/>
            </w:tcBorders>
          </w:tcPr>
          <w:p w14:paraId="450CCCB5" w14:textId="3F2DABB3" w:rsidR="00AB7C9D" w:rsidRPr="00EE6DA8" w:rsidRDefault="00AB7C9D" w:rsidP="00B303E9">
            <w:pPr>
              <w:rPr>
                <w:color w:val="FF0000"/>
                <w:sz w:val="22"/>
                <w:szCs w:val="22"/>
                <w:highlight w:val="yellow"/>
              </w:rPr>
            </w:pPr>
          </w:p>
        </w:tc>
        <w:tc>
          <w:tcPr>
            <w:tcW w:w="14600" w:type="dxa"/>
            <w:tcBorders>
              <w:top w:val="single" w:sz="4" w:space="0" w:color="auto"/>
              <w:right w:val="single" w:sz="4" w:space="0" w:color="auto"/>
            </w:tcBorders>
          </w:tcPr>
          <w:p w14:paraId="1BA1BEF4" w14:textId="77777777" w:rsidR="00D2355A" w:rsidRPr="00EE6DA8" w:rsidRDefault="00BE47DD" w:rsidP="00BE47DD">
            <w:pPr>
              <w:tabs>
                <w:tab w:val="left" w:pos="1977"/>
              </w:tabs>
              <w:cnfStyle w:val="000000000000" w:firstRow="0" w:lastRow="0" w:firstColumn="0" w:lastColumn="0" w:oddVBand="0" w:evenVBand="0" w:oddHBand="0" w:evenHBand="0" w:firstRowFirstColumn="0" w:firstRowLastColumn="0" w:lastRowFirstColumn="0" w:lastRowLastColumn="0"/>
              <w:rPr>
                <w:sz w:val="22"/>
                <w:szCs w:val="22"/>
              </w:rPr>
            </w:pPr>
            <w:r w:rsidRPr="00EE6DA8">
              <w:rPr>
                <w:sz w:val="22"/>
                <w:szCs w:val="22"/>
              </w:rPr>
              <w:t xml:space="preserve">Can explain in writing (in Language B) the way that facts and arguments are presented in a text (in Language A), particularly when someone else’s position is being reported, drawing attention to the use of understatement, veiled criticism, irony and sarcasm. </w:t>
            </w:r>
          </w:p>
          <w:p w14:paraId="17161E23" w14:textId="74A5E727" w:rsidR="00AB7C9D" w:rsidRPr="00EE6DA8" w:rsidRDefault="00BE47DD" w:rsidP="00BE47DD">
            <w:pPr>
              <w:tabs>
                <w:tab w:val="left" w:pos="1977"/>
              </w:tabs>
              <w:cnfStyle w:val="000000000000" w:firstRow="0" w:lastRow="0" w:firstColumn="0" w:lastColumn="0" w:oddVBand="0" w:evenVBand="0" w:oddHBand="0" w:evenHBand="0" w:firstRowFirstColumn="0" w:firstRowLastColumn="0" w:lastRowFirstColumn="0" w:lastRowLastColumn="0"/>
              <w:rPr>
                <w:sz w:val="22"/>
                <w:szCs w:val="22"/>
              </w:rPr>
            </w:pPr>
            <w:r w:rsidRPr="00EE6DA8">
              <w:rPr>
                <w:sz w:val="22"/>
                <w:szCs w:val="22"/>
              </w:rPr>
              <w:t>Can summarise information from different sources, reconstructing arguments and accounts in a coherent presentation of the overall result.</w:t>
            </w:r>
          </w:p>
        </w:tc>
      </w:tr>
      <w:tr w:rsidR="00B303E9" w:rsidRPr="00EE6DA8" w14:paraId="6DB61567" w14:textId="77777777" w:rsidTr="00B66AE8">
        <w:trPr>
          <w:jc w:val="center"/>
        </w:trPr>
        <w:tc>
          <w:tcPr>
            <w:cnfStyle w:val="001000000000" w:firstRow="0" w:lastRow="0" w:firstColumn="1" w:lastColumn="0" w:oddVBand="0" w:evenVBand="0" w:oddHBand="0" w:evenHBand="0" w:firstRowFirstColumn="0" w:firstRowLastColumn="0" w:lastRowFirstColumn="0" w:lastRowLastColumn="0"/>
            <w:tcW w:w="988" w:type="dxa"/>
            <w:tcBorders>
              <w:top w:val="single" w:sz="4" w:space="0" w:color="auto"/>
              <w:left w:val="single" w:sz="4" w:space="0" w:color="auto"/>
            </w:tcBorders>
          </w:tcPr>
          <w:p w14:paraId="6962BD6C" w14:textId="5620D5AE" w:rsidR="00B303E9" w:rsidRPr="00EE6DA8" w:rsidRDefault="00B303E9" w:rsidP="00B303E9">
            <w:pPr>
              <w:rPr>
                <w:sz w:val="22"/>
                <w:szCs w:val="22"/>
              </w:rPr>
            </w:pPr>
          </w:p>
        </w:tc>
        <w:tc>
          <w:tcPr>
            <w:tcW w:w="14600" w:type="dxa"/>
            <w:tcBorders>
              <w:top w:val="single" w:sz="4" w:space="0" w:color="auto"/>
              <w:right w:val="single" w:sz="4" w:space="0" w:color="auto"/>
            </w:tcBorders>
          </w:tcPr>
          <w:p w14:paraId="0C09C422" w14:textId="37371B64" w:rsidR="00B303E9" w:rsidRPr="00EE6DA8" w:rsidRDefault="002A251A" w:rsidP="00B66AE8">
            <w:pPr>
              <w:cnfStyle w:val="000000000000" w:firstRow="0" w:lastRow="0" w:firstColumn="0" w:lastColumn="0" w:oddVBand="0" w:evenVBand="0" w:oddHBand="0" w:evenHBand="0" w:firstRowFirstColumn="0" w:firstRowLastColumn="0" w:lastRowFirstColumn="0" w:lastRowLastColumn="0"/>
              <w:rPr>
                <w:sz w:val="22"/>
                <w:szCs w:val="22"/>
              </w:rPr>
            </w:pPr>
            <w:r w:rsidRPr="00EE6DA8">
              <w:rPr>
                <w:sz w:val="22"/>
                <w:szCs w:val="22"/>
              </w:rPr>
              <w:t>Can summarise in writing (in Language B) the main content of complex texts (in Language A) on subjects related to their fields of interest and specialisation.</w:t>
            </w:r>
          </w:p>
        </w:tc>
      </w:tr>
      <w:tr w:rsidR="00B303E9" w:rsidRPr="00EE6DA8" w14:paraId="2C34D4F5" w14:textId="77777777" w:rsidTr="00B66AE8">
        <w:trPr>
          <w:jc w:val="center"/>
        </w:trPr>
        <w:tc>
          <w:tcPr>
            <w:cnfStyle w:val="001000000000" w:firstRow="0" w:lastRow="0" w:firstColumn="1" w:lastColumn="0" w:oddVBand="0" w:evenVBand="0" w:oddHBand="0" w:evenHBand="0" w:firstRowFirstColumn="0" w:firstRowLastColumn="0" w:lastRowFirstColumn="0" w:lastRowLastColumn="0"/>
            <w:tcW w:w="988" w:type="dxa"/>
            <w:tcBorders>
              <w:top w:val="single" w:sz="4" w:space="0" w:color="auto"/>
              <w:left w:val="single" w:sz="4" w:space="0" w:color="auto"/>
              <w:bottom w:val="single" w:sz="4" w:space="0" w:color="auto"/>
            </w:tcBorders>
          </w:tcPr>
          <w:p w14:paraId="7D601470" w14:textId="44B26461" w:rsidR="00B303E9" w:rsidRPr="00EE6DA8" w:rsidRDefault="00B303E9" w:rsidP="00B303E9">
            <w:pPr>
              <w:rPr>
                <w:color w:val="FF0000"/>
                <w:sz w:val="22"/>
                <w:szCs w:val="22"/>
              </w:rPr>
            </w:pPr>
          </w:p>
        </w:tc>
        <w:tc>
          <w:tcPr>
            <w:tcW w:w="14600" w:type="dxa"/>
            <w:tcBorders>
              <w:top w:val="single" w:sz="4" w:space="0" w:color="auto"/>
              <w:bottom w:val="single" w:sz="4" w:space="0" w:color="auto"/>
              <w:right w:val="single" w:sz="4" w:space="0" w:color="auto"/>
            </w:tcBorders>
          </w:tcPr>
          <w:p w14:paraId="77F2DDA0" w14:textId="0CD01F70" w:rsidR="00F649B4" w:rsidRPr="00EE6DA8" w:rsidRDefault="00F649B4" w:rsidP="00F649B4">
            <w:pPr>
              <w:tabs>
                <w:tab w:val="left" w:pos="1236"/>
              </w:tabs>
              <w:cnfStyle w:val="000000000000" w:firstRow="0" w:lastRow="0" w:firstColumn="0" w:lastColumn="0" w:oddVBand="0" w:evenVBand="0" w:oddHBand="0" w:evenHBand="0" w:firstRowFirstColumn="0" w:firstRowLastColumn="0" w:lastRowFirstColumn="0" w:lastRowLastColumn="0"/>
              <w:rPr>
                <w:sz w:val="22"/>
                <w:szCs w:val="22"/>
              </w:rPr>
            </w:pPr>
            <w:r w:rsidRPr="00EE6DA8">
              <w:rPr>
                <w:sz w:val="22"/>
                <w:szCs w:val="22"/>
              </w:rPr>
              <w:t>Can, with the help of a dictionary, convey (in Language B) the meaning of simple phrases (in Language A) on familiar and everyday themes.</w:t>
            </w:r>
          </w:p>
          <w:p w14:paraId="69FD0EFC" w14:textId="3B2D2B5A" w:rsidR="00B303E9" w:rsidRPr="00EE6DA8" w:rsidRDefault="00F649B4" w:rsidP="00F649B4">
            <w:pPr>
              <w:tabs>
                <w:tab w:val="left" w:pos="1236"/>
              </w:tabs>
              <w:cnfStyle w:val="000000000000" w:firstRow="0" w:lastRow="0" w:firstColumn="0" w:lastColumn="0" w:oddVBand="0" w:evenVBand="0" w:oddHBand="0" w:evenHBand="0" w:firstRowFirstColumn="0" w:firstRowLastColumn="0" w:lastRowFirstColumn="0" w:lastRowLastColumn="0"/>
              <w:rPr>
                <w:sz w:val="22"/>
                <w:szCs w:val="22"/>
              </w:rPr>
            </w:pPr>
            <w:r w:rsidRPr="00EE6DA8">
              <w:rPr>
                <w:sz w:val="22"/>
                <w:szCs w:val="22"/>
              </w:rPr>
              <w:t>Can copy out single words and short texts presented in standard printed format.</w:t>
            </w:r>
          </w:p>
        </w:tc>
      </w:tr>
      <w:tr w:rsidR="00206F25" w:rsidRPr="00EE6DA8" w14:paraId="2BF7D128" w14:textId="77777777" w:rsidTr="00B66AE8">
        <w:trPr>
          <w:jc w:val="center"/>
        </w:trPr>
        <w:tc>
          <w:tcPr>
            <w:cnfStyle w:val="001000000000" w:firstRow="0" w:lastRow="0" w:firstColumn="1" w:lastColumn="0" w:oddVBand="0" w:evenVBand="0" w:oddHBand="0" w:evenHBand="0" w:firstRowFirstColumn="0" w:firstRowLastColumn="0" w:lastRowFirstColumn="0" w:lastRowLastColumn="0"/>
            <w:tcW w:w="988" w:type="dxa"/>
            <w:tcBorders>
              <w:top w:val="single" w:sz="4" w:space="0" w:color="auto"/>
              <w:left w:val="single" w:sz="4" w:space="0" w:color="auto"/>
            </w:tcBorders>
          </w:tcPr>
          <w:p w14:paraId="6D9E0A23" w14:textId="77777777" w:rsidR="00206F25" w:rsidRPr="00EE6DA8" w:rsidRDefault="00206F25" w:rsidP="00F74B58">
            <w:pPr>
              <w:rPr>
                <w:color w:val="FF0000"/>
                <w:sz w:val="22"/>
                <w:szCs w:val="22"/>
              </w:rPr>
            </w:pPr>
            <w:r w:rsidRPr="00E30C83">
              <w:rPr>
                <w:sz w:val="22"/>
                <w:szCs w:val="22"/>
              </w:rPr>
              <w:t>B2+</w:t>
            </w:r>
          </w:p>
        </w:tc>
        <w:tc>
          <w:tcPr>
            <w:tcW w:w="14600" w:type="dxa"/>
            <w:tcBorders>
              <w:top w:val="single" w:sz="4" w:space="0" w:color="auto"/>
              <w:right w:val="single" w:sz="4" w:space="0" w:color="auto"/>
            </w:tcBorders>
          </w:tcPr>
          <w:p w14:paraId="62F7E509" w14:textId="77777777" w:rsidR="00206F25" w:rsidRPr="00EE6DA8" w:rsidRDefault="00206F25" w:rsidP="00F74B58">
            <w:pPr>
              <w:cnfStyle w:val="000000000000" w:firstRow="0" w:lastRow="0" w:firstColumn="0" w:lastColumn="0" w:oddVBand="0" w:evenVBand="0" w:oddHBand="0" w:evenHBand="0" w:firstRowFirstColumn="0" w:firstRowLastColumn="0" w:lastRowFirstColumn="0" w:lastRowLastColumn="0"/>
              <w:rPr>
                <w:sz w:val="22"/>
                <w:szCs w:val="22"/>
              </w:rPr>
            </w:pPr>
            <w:r w:rsidRPr="00EE6DA8">
              <w:rPr>
                <w:sz w:val="22"/>
                <w:szCs w:val="22"/>
              </w:rPr>
              <w:t>Can summarise in writing (in Language B) the main content of well-structured but propositionally complex texts (in Language A) on subjects within their fields of professional, academic and personal interest.</w:t>
            </w:r>
          </w:p>
          <w:p w14:paraId="22FD241E" w14:textId="5C4F90D3" w:rsidR="00206F25" w:rsidRPr="00EE6DA8" w:rsidRDefault="00206F25" w:rsidP="00F74B58">
            <w:pPr>
              <w:cnfStyle w:val="000000000000" w:firstRow="0" w:lastRow="0" w:firstColumn="0" w:lastColumn="0" w:oddVBand="0" w:evenVBand="0" w:oddHBand="0" w:evenHBand="0" w:firstRowFirstColumn="0" w:firstRowLastColumn="0" w:lastRowFirstColumn="0" w:lastRowLastColumn="0"/>
              <w:rPr>
                <w:sz w:val="22"/>
                <w:szCs w:val="22"/>
              </w:rPr>
            </w:pPr>
            <w:r w:rsidRPr="00EE6DA8">
              <w:rPr>
                <w:sz w:val="22"/>
                <w:szCs w:val="22"/>
              </w:rPr>
              <w:t>Can compare, contrast and synthesise in writing (in Language B) the information and viewpoints contained in academic and professional publications (in Language A) in their fields of special interest.</w:t>
            </w:r>
          </w:p>
          <w:p w14:paraId="36386141" w14:textId="19F405F8" w:rsidR="00206F25" w:rsidRPr="00EE6DA8" w:rsidRDefault="00206F25" w:rsidP="0039628A">
            <w:pPr>
              <w:cnfStyle w:val="000000000000" w:firstRow="0" w:lastRow="0" w:firstColumn="0" w:lastColumn="0" w:oddVBand="0" w:evenVBand="0" w:oddHBand="0" w:evenHBand="0" w:firstRowFirstColumn="0" w:firstRowLastColumn="0" w:lastRowFirstColumn="0" w:lastRowLastColumn="0"/>
              <w:rPr>
                <w:sz w:val="22"/>
                <w:szCs w:val="22"/>
              </w:rPr>
            </w:pPr>
            <w:r w:rsidRPr="00EE6DA8">
              <w:rPr>
                <w:sz w:val="22"/>
                <w:szCs w:val="22"/>
              </w:rPr>
              <w:t>Can explain in writing (in Language B) the viewpoint articulated in a complex text (in Language A), supporting</w:t>
            </w:r>
            <w:r w:rsidR="009F0B8B" w:rsidRPr="00EE6DA8">
              <w:rPr>
                <w:sz w:val="22"/>
                <w:szCs w:val="22"/>
              </w:rPr>
              <w:t xml:space="preserve"> inferences they make with reference to specific information in the original.</w:t>
            </w:r>
          </w:p>
        </w:tc>
      </w:tr>
      <w:tr w:rsidR="00206F25" w:rsidRPr="00EE6DA8" w14:paraId="4D310BC9" w14:textId="77777777" w:rsidTr="00B66AE8">
        <w:trPr>
          <w:jc w:val="center"/>
        </w:trPr>
        <w:tc>
          <w:tcPr>
            <w:cnfStyle w:val="001000000000" w:firstRow="0" w:lastRow="0" w:firstColumn="1" w:lastColumn="0" w:oddVBand="0" w:evenVBand="0" w:oddHBand="0" w:evenHBand="0" w:firstRowFirstColumn="0" w:firstRowLastColumn="0" w:lastRowFirstColumn="0" w:lastRowLastColumn="0"/>
            <w:tcW w:w="988" w:type="dxa"/>
            <w:tcBorders>
              <w:top w:val="single" w:sz="4" w:space="0" w:color="auto"/>
              <w:left w:val="single" w:sz="4" w:space="0" w:color="auto"/>
              <w:bottom w:val="single" w:sz="4" w:space="0" w:color="auto"/>
            </w:tcBorders>
          </w:tcPr>
          <w:p w14:paraId="79FCC503" w14:textId="0AC1B3DC" w:rsidR="00206F25" w:rsidRPr="00EE6DA8" w:rsidRDefault="00206F25" w:rsidP="00B303E9">
            <w:pPr>
              <w:rPr>
                <w:color w:val="FF0000"/>
                <w:sz w:val="22"/>
                <w:szCs w:val="22"/>
              </w:rPr>
            </w:pPr>
          </w:p>
        </w:tc>
        <w:tc>
          <w:tcPr>
            <w:tcW w:w="14600" w:type="dxa"/>
            <w:tcBorders>
              <w:top w:val="single" w:sz="4" w:space="0" w:color="auto"/>
              <w:bottom w:val="single" w:sz="4" w:space="0" w:color="auto"/>
              <w:right w:val="single" w:sz="4" w:space="0" w:color="auto"/>
            </w:tcBorders>
          </w:tcPr>
          <w:p w14:paraId="3596C92D" w14:textId="5921F2B1" w:rsidR="00D017DA" w:rsidRPr="00EE6DA8" w:rsidRDefault="00D017DA" w:rsidP="00D017DA">
            <w:pPr>
              <w:cnfStyle w:val="000000000000" w:firstRow="0" w:lastRow="0" w:firstColumn="0" w:lastColumn="0" w:oddVBand="0" w:evenVBand="0" w:oddHBand="0" w:evenHBand="0" w:firstRowFirstColumn="0" w:firstRowLastColumn="0" w:lastRowFirstColumn="0" w:lastRowLastColumn="0"/>
              <w:rPr>
                <w:sz w:val="22"/>
                <w:szCs w:val="22"/>
              </w:rPr>
            </w:pPr>
            <w:r w:rsidRPr="00EE6DA8">
              <w:rPr>
                <w:sz w:val="22"/>
                <w:szCs w:val="22"/>
              </w:rPr>
              <w:t>Can summarise in writing (in Language B) the main points made in straightforward, informational texts (in Language A) on subjects that are of personal or current interest, provided oral texts are clearly articulated.</w:t>
            </w:r>
          </w:p>
          <w:p w14:paraId="711EFF32" w14:textId="156E5749" w:rsidR="00206F25" w:rsidRPr="00EE6DA8" w:rsidRDefault="00D017DA" w:rsidP="00D017DA">
            <w:pPr>
              <w:cnfStyle w:val="000000000000" w:firstRow="0" w:lastRow="0" w:firstColumn="0" w:lastColumn="0" w:oddVBand="0" w:evenVBand="0" w:oddHBand="0" w:evenHBand="0" w:firstRowFirstColumn="0" w:firstRowLastColumn="0" w:lastRowFirstColumn="0" w:lastRowLastColumn="0"/>
              <w:rPr>
                <w:sz w:val="22"/>
                <w:szCs w:val="22"/>
              </w:rPr>
            </w:pPr>
            <w:r w:rsidRPr="00EE6DA8">
              <w:rPr>
                <w:sz w:val="22"/>
                <w:szCs w:val="22"/>
              </w:rPr>
              <w:t>Can paraphrase short passages in a simple fashion, using the original text wording and ordering</w:t>
            </w:r>
            <w:r w:rsidR="009F0B8B" w:rsidRPr="00EE6DA8">
              <w:rPr>
                <w:sz w:val="22"/>
                <w:szCs w:val="22"/>
              </w:rPr>
              <w:t>.</w:t>
            </w:r>
          </w:p>
        </w:tc>
      </w:tr>
      <w:tr w:rsidR="00AB7C9D" w:rsidRPr="00EE6DA8" w14:paraId="237F6F61" w14:textId="77777777" w:rsidTr="00B66AE8">
        <w:trPr>
          <w:jc w:val="center"/>
        </w:trPr>
        <w:tc>
          <w:tcPr>
            <w:cnfStyle w:val="001000000000" w:firstRow="0" w:lastRow="0" w:firstColumn="1" w:lastColumn="0" w:oddVBand="0" w:evenVBand="0" w:oddHBand="0" w:evenHBand="0" w:firstRowFirstColumn="0" w:firstRowLastColumn="0" w:lastRowFirstColumn="0" w:lastRowLastColumn="0"/>
            <w:tcW w:w="988" w:type="dxa"/>
            <w:vMerge w:val="restart"/>
            <w:tcBorders>
              <w:top w:val="single" w:sz="4" w:space="0" w:color="auto"/>
              <w:left w:val="single" w:sz="4" w:space="0" w:color="auto"/>
            </w:tcBorders>
          </w:tcPr>
          <w:p w14:paraId="01DA74B4" w14:textId="441DB180" w:rsidR="00AB7C9D" w:rsidRPr="00EE6DA8" w:rsidRDefault="00AB7C9D" w:rsidP="00B303E9">
            <w:pPr>
              <w:rPr>
                <w:color w:val="FF0000"/>
                <w:sz w:val="22"/>
                <w:szCs w:val="22"/>
              </w:rPr>
            </w:pPr>
          </w:p>
        </w:tc>
        <w:tc>
          <w:tcPr>
            <w:tcW w:w="14600" w:type="dxa"/>
            <w:tcBorders>
              <w:top w:val="single" w:sz="4" w:space="0" w:color="auto"/>
              <w:right w:val="single" w:sz="4" w:space="0" w:color="auto"/>
            </w:tcBorders>
          </w:tcPr>
          <w:p w14:paraId="07D72B92" w14:textId="14655AAF" w:rsidR="001055DB" w:rsidRPr="00EE6DA8" w:rsidRDefault="001055DB" w:rsidP="001055DB">
            <w:pPr>
              <w:cnfStyle w:val="000000000000" w:firstRow="0" w:lastRow="0" w:firstColumn="0" w:lastColumn="0" w:oddVBand="0" w:evenVBand="0" w:oddHBand="0" w:evenHBand="0" w:firstRowFirstColumn="0" w:firstRowLastColumn="0" w:lastRowFirstColumn="0" w:lastRowLastColumn="0"/>
              <w:rPr>
                <w:sz w:val="22"/>
                <w:szCs w:val="22"/>
              </w:rPr>
            </w:pPr>
            <w:r w:rsidRPr="00EE6DA8">
              <w:rPr>
                <w:sz w:val="22"/>
                <w:szCs w:val="22"/>
              </w:rPr>
              <w:t xml:space="preserve">Can list as a series of bullet points (in Language B) the relevant information contained in short simple texts (in Language A), provided the texts concern </w:t>
            </w:r>
          </w:p>
          <w:p w14:paraId="64AF249A" w14:textId="77777777" w:rsidR="001055DB" w:rsidRPr="00EE6DA8" w:rsidRDefault="001055DB" w:rsidP="001055DB">
            <w:pPr>
              <w:cnfStyle w:val="000000000000" w:firstRow="0" w:lastRow="0" w:firstColumn="0" w:lastColumn="0" w:oddVBand="0" w:evenVBand="0" w:oddHBand="0" w:evenHBand="0" w:firstRowFirstColumn="0" w:firstRowLastColumn="0" w:lastRowFirstColumn="0" w:lastRowLastColumn="0"/>
              <w:rPr>
                <w:sz w:val="22"/>
                <w:szCs w:val="22"/>
              </w:rPr>
            </w:pPr>
            <w:r w:rsidRPr="00EE6DA8">
              <w:rPr>
                <w:sz w:val="22"/>
                <w:szCs w:val="22"/>
              </w:rPr>
              <w:t>concrete, familiar subjects and contain only simple everyday language.</w:t>
            </w:r>
          </w:p>
          <w:p w14:paraId="34BBCB9F" w14:textId="69D3F015" w:rsidR="00AB7C9D" w:rsidRPr="00EE6DA8" w:rsidRDefault="001055DB" w:rsidP="001055DB">
            <w:pPr>
              <w:cnfStyle w:val="000000000000" w:firstRow="0" w:lastRow="0" w:firstColumn="0" w:lastColumn="0" w:oddVBand="0" w:evenVBand="0" w:oddHBand="0" w:evenHBand="0" w:firstRowFirstColumn="0" w:firstRowLastColumn="0" w:lastRowFirstColumn="0" w:lastRowLastColumn="0"/>
              <w:rPr>
                <w:sz w:val="22"/>
                <w:szCs w:val="22"/>
              </w:rPr>
            </w:pPr>
            <w:r w:rsidRPr="00EE6DA8">
              <w:rPr>
                <w:sz w:val="22"/>
                <w:szCs w:val="22"/>
              </w:rPr>
              <w:t>Can pick out and reproduce key words and phrases or short sentences from a short text within the learner’s limited competence and experience.</w:t>
            </w:r>
          </w:p>
        </w:tc>
      </w:tr>
      <w:tr w:rsidR="00AB7C9D" w:rsidRPr="00EE6DA8" w14:paraId="6B979310" w14:textId="77777777" w:rsidTr="00B66AE8">
        <w:trPr>
          <w:jc w:val="center"/>
        </w:trPr>
        <w:tc>
          <w:tcPr>
            <w:cnfStyle w:val="001000000000" w:firstRow="0" w:lastRow="0" w:firstColumn="1" w:lastColumn="0" w:oddVBand="0" w:evenVBand="0" w:oddHBand="0" w:evenHBand="0" w:firstRowFirstColumn="0" w:firstRowLastColumn="0" w:lastRowFirstColumn="0" w:lastRowLastColumn="0"/>
            <w:tcW w:w="988" w:type="dxa"/>
            <w:vMerge/>
            <w:tcBorders>
              <w:left w:val="single" w:sz="4" w:space="0" w:color="auto"/>
              <w:bottom w:val="single" w:sz="4" w:space="0" w:color="auto"/>
            </w:tcBorders>
          </w:tcPr>
          <w:p w14:paraId="76C03248" w14:textId="77777777" w:rsidR="00AB7C9D" w:rsidRPr="00EE6DA8" w:rsidRDefault="00AB7C9D" w:rsidP="00B303E9">
            <w:pPr>
              <w:rPr>
                <w:sz w:val="22"/>
                <w:szCs w:val="22"/>
              </w:rPr>
            </w:pPr>
          </w:p>
        </w:tc>
        <w:tc>
          <w:tcPr>
            <w:tcW w:w="14600" w:type="dxa"/>
            <w:tcBorders>
              <w:bottom w:val="single" w:sz="4" w:space="0" w:color="auto"/>
              <w:right w:val="single" w:sz="4" w:space="0" w:color="auto"/>
            </w:tcBorders>
          </w:tcPr>
          <w:p w14:paraId="5C7AA713" w14:textId="77DD6761" w:rsidR="00AE543A" w:rsidRPr="00EE6DA8" w:rsidRDefault="00AE543A" w:rsidP="00AE543A">
            <w:pPr>
              <w:tabs>
                <w:tab w:val="left" w:pos="1623"/>
              </w:tabs>
              <w:cnfStyle w:val="000000000000" w:firstRow="0" w:lastRow="0" w:firstColumn="0" w:lastColumn="0" w:oddVBand="0" w:evenVBand="0" w:oddHBand="0" w:evenHBand="0" w:firstRowFirstColumn="0" w:firstRowLastColumn="0" w:lastRowFirstColumn="0" w:lastRowLastColumn="0"/>
              <w:rPr>
                <w:sz w:val="22"/>
                <w:szCs w:val="22"/>
              </w:rPr>
            </w:pPr>
            <w:r w:rsidRPr="00EE6DA8">
              <w:rPr>
                <w:sz w:val="22"/>
                <w:szCs w:val="22"/>
              </w:rPr>
              <w:t>Can use simple language to convey (in Language B) the main point(s) contained in very short texts (in Language A) on familiar and everyday themes that contain the highest frequency vocabulary; despite errors, the text remains comprehensible.</w:t>
            </w:r>
          </w:p>
          <w:p w14:paraId="4655FB54" w14:textId="6868666E" w:rsidR="00AB7C9D" w:rsidRPr="00EE6DA8" w:rsidRDefault="00AE543A" w:rsidP="00AE543A">
            <w:pPr>
              <w:tabs>
                <w:tab w:val="left" w:pos="1623"/>
              </w:tabs>
              <w:cnfStyle w:val="000000000000" w:firstRow="0" w:lastRow="0" w:firstColumn="0" w:lastColumn="0" w:oddVBand="0" w:evenVBand="0" w:oddHBand="0" w:evenHBand="0" w:firstRowFirstColumn="0" w:firstRowLastColumn="0" w:lastRowFirstColumn="0" w:lastRowLastColumn="0"/>
              <w:rPr>
                <w:sz w:val="22"/>
                <w:szCs w:val="22"/>
              </w:rPr>
            </w:pPr>
            <w:r w:rsidRPr="00EE6DA8">
              <w:rPr>
                <w:sz w:val="22"/>
                <w:szCs w:val="22"/>
              </w:rPr>
              <w:t>Can copy out short texts in printed or clearly handwritten format.</w:t>
            </w:r>
          </w:p>
        </w:tc>
      </w:tr>
    </w:tbl>
    <w:p w14:paraId="38794CC3" w14:textId="0F753FF3" w:rsidR="00B303E9" w:rsidRPr="00B303E9" w:rsidRDefault="00724980" w:rsidP="00724980">
      <w:pPr>
        <w:jc w:val="right"/>
      </w:pPr>
      <w:r>
        <w:t>(Council of Europe, 2020, pp.99-101)</w:t>
      </w:r>
    </w:p>
    <w:sectPr w:rsidR="00B303E9" w:rsidRPr="00B303E9" w:rsidSect="00724980">
      <w:pgSz w:w="16838" w:h="11906" w:orient="landscape"/>
      <w:pgMar w:top="567" w:right="720" w:bottom="567"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3E9"/>
    <w:rsid w:val="00025D05"/>
    <w:rsid w:val="000A612C"/>
    <w:rsid w:val="001055DB"/>
    <w:rsid w:val="001D28BB"/>
    <w:rsid w:val="00206F25"/>
    <w:rsid w:val="00207625"/>
    <w:rsid w:val="00264327"/>
    <w:rsid w:val="002A251A"/>
    <w:rsid w:val="00374B1F"/>
    <w:rsid w:val="0039580A"/>
    <w:rsid w:val="0039628A"/>
    <w:rsid w:val="00462F80"/>
    <w:rsid w:val="00537455"/>
    <w:rsid w:val="00561C78"/>
    <w:rsid w:val="006252E3"/>
    <w:rsid w:val="00724980"/>
    <w:rsid w:val="0075335C"/>
    <w:rsid w:val="0083506B"/>
    <w:rsid w:val="008453CB"/>
    <w:rsid w:val="008D759E"/>
    <w:rsid w:val="00966E24"/>
    <w:rsid w:val="009F0B8B"/>
    <w:rsid w:val="009F6032"/>
    <w:rsid w:val="00AA33A7"/>
    <w:rsid w:val="00AB7C9D"/>
    <w:rsid w:val="00AE543A"/>
    <w:rsid w:val="00B303E9"/>
    <w:rsid w:val="00B66AE8"/>
    <w:rsid w:val="00BE47DD"/>
    <w:rsid w:val="00C5777D"/>
    <w:rsid w:val="00D017DA"/>
    <w:rsid w:val="00D2355A"/>
    <w:rsid w:val="00DF6715"/>
    <w:rsid w:val="00E0019D"/>
    <w:rsid w:val="00E13ADA"/>
    <w:rsid w:val="00E30C83"/>
    <w:rsid w:val="00E70C7A"/>
    <w:rsid w:val="00E91F35"/>
    <w:rsid w:val="00EE2362"/>
    <w:rsid w:val="00EE6DA8"/>
    <w:rsid w:val="00F649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E1BE0"/>
  <w15:chartTrackingRefBased/>
  <w15:docId w15:val="{3CA03D87-822E-415F-9852-694DA5FB8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03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303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303E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303E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303E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303E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03E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03E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03E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03E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303E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303E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303E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303E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303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03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03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03E9"/>
    <w:rPr>
      <w:rFonts w:eastAsiaTheme="majorEastAsia" w:cstheme="majorBidi"/>
      <w:color w:val="272727" w:themeColor="text1" w:themeTint="D8"/>
    </w:rPr>
  </w:style>
  <w:style w:type="paragraph" w:styleId="Title">
    <w:name w:val="Title"/>
    <w:basedOn w:val="Normal"/>
    <w:next w:val="Normal"/>
    <w:link w:val="TitleChar"/>
    <w:uiPriority w:val="10"/>
    <w:qFormat/>
    <w:rsid w:val="00B303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03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03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03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03E9"/>
    <w:pPr>
      <w:spacing w:before="160"/>
      <w:jc w:val="center"/>
    </w:pPr>
    <w:rPr>
      <w:i/>
      <w:iCs/>
      <w:color w:val="404040" w:themeColor="text1" w:themeTint="BF"/>
    </w:rPr>
  </w:style>
  <w:style w:type="character" w:customStyle="1" w:styleId="QuoteChar">
    <w:name w:val="Quote Char"/>
    <w:basedOn w:val="DefaultParagraphFont"/>
    <w:link w:val="Quote"/>
    <w:uiPriority w:val="29"/>
    <w:rsid w:val="00B303E9"/>
    <w:rPr>
      <w:i/>
      <w:iCs/>
      <w:color w:val="404040" w:themeColor="text1" w:themeTint="BF"/>
    </w:rPr>
  </w:style>
  <w:style w:type="paragraph" w:styleId="ListParagraph">
    <w:name w:val="List Paragraph"/>
    <w:basedOn w:val="Normal"/>
    <w:uiPriority w:val="34"/>
    <w:qFormat/>
    <w:rsid w:val="00B303E9"/>
    <w:pPr>
      <w:ind w:left="720"/>
      <w:contextualSpacing/>
    </w:pPr>
  </w:style>
  <w:style w:type="character" w:styleId="IntenseEmphasis">
    <w:name w:val="Intense Emphasis"/>
    <w:basedOn w:val="DefaultParagraphFont"/>
    <w:uiPriority w:val="21"/>
    <w:qFormat/>
    <w:rsid w:val="00B303E9"/>
    <w:rPr>
      <w:i/>
      <w:iCs/>
      <w:color w:val="0F4761" w:themeColor="accent1" w:themeShade="BF"/>
    </w:rPr>
  </w:style>
  <w:style w:type="paragraph" w:styleId="IntenseQuote">
    <w:name w:val="Intense Quote"/>
    <w:basedOn w:val="Normal"/>
    <w:next w:val="Normal"/>
    <w:link w:val="IntenseQuoteChar"/>
    <w:uiPriority w:val="30"/>
    <w:qFormat/>
    <w:rsid w:val="00B303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303E9"/>
    <w:rPr>
      <w:i/>
      <w:iCs/>
      <w:color w:val="0F4761" w:themeColor="accent1" w:themeShade="BF"/>
    </w:rPr>
  </w:style>
  <w:style w:type="character" w:styleId="IntenseReference">
    <w:name w:val="Intense Reference"/>
    <w:basedOn w:val="DefaultParagraphFont"/>
    <w:uiPriority w:val="32"/>
    <w:qFormat/>
    <w:rsid w:val="00B303E9"/>
    <w:rPr>
      <w:b/>
      <w:bCs/>
      <w:smallCaps/>
      <w:color w:val="0F4761" w:themeColor="accent1" w:themeShade="BF"/>
      <w:spacing w:val="5"/>
    </w:rPr>
  </w:style>
  <w:style w:type="table" w:styleId="TableGrid">
    <w:name w:val="Table Grid"/>
    <w:basedOn w:val="TableNormal"/>
    <w:uiPriority w:val="39"/>
    <w:rsid w:val="00B303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5">
    <w:name w:val="Grid Table 1 Light Accent 5"/>
    <w:basedOn w:val="TableNormal"/>
    <w:uiPriority w:val="46"/>
    <w:rsid w:val="00B303E9"/>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502</Words>
  <Characters>2865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Westbrook</dc:creator>
  <cp:keywords/>
  <dc:description/>
  <cp:lastModifiedBy>Carolyn Westbrook</cp:lastModifiedBy>
  <cp:revision>6</cp:revision>
  <dcterms:created xsi:type="dcterms:W3CDTF">2024-08-27T10:51:00Z</dcterms:created>
  <dcterms:modified xsi:type="dcterms:W3CDTF">2024-08-27T11:46:00Z</dcterms:modified>
</cp:coreProperties>
</file>