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621EB" w14:textId="5A17C710" w:rsidR="006E088E" w:rsidRDefault="00DC7217" w:rsidP="000C5E3E">
      <w:pPr>
        <w:pStyle w:val="Programme"/>
      </w:pPr>
      <w:bookmarkStart w:id="0" w:name="_Toc94180155"/>
      <w:bookmarkStart w:id="1" w:name="_Toc94180156"/>
      <w:proofErr w:type="spellStart"/>
      <w:r>
        <w:t>Didacta</w:t>
      </w:r>
      <w:proofErr w:type="spellEnd"/>
      <w:r>
        <w:t xml:space="preserve"> 202</w:t>
      </w:r>
      <w:r w:rsidR="007B3268">
        <w:t>5</w:t>
      </w:r>
      <w:r>
        <w:t>, Florence, Italy</w:t>
      </w:r>
    </w:p>
    <w:p w14:paraId="2D1012A2" w14:textId="77777777" w:rsidR="008A1B3E" w:rsidRDefault="006E088E" w:rsidP="000C5E3E">
      <w:pPr>
        <w:pStyle w:val="Programme"/>
      </w:pPr>
      <w:r w:rsidRPr="00B024D4">
        <w:rPr>
          <w:noProof/>
        </w:rPr>
        <mc:AlternateContent>
          <mc:Choice Requires="wps">
            <w:drawing>
              <wp:anchor distT="0" distB="0" distL="0" distR="0" simplePos="0" relativeHeight="251660288" behindDoc="0" locked="0" layoutInCell="1" allowOverlap="1" wp14:anchorId="54FFF9B1" wp14:editId="7EA3E504">
                <wp:simplePos x="0" y="0"/>
                <wp:positionH relativeFrom="column">
                  <wp:posOffset>0</wp:posOffset>
                </wp:positionH>
                <wp:positionV relativeFrom="paragraph">
                  <wp:posOffset>269875</wp:posOffset>
                </wp:positionV>
                <wp:extent cx="500400" cy="0"/>
                <wp:effectExtent l="0" t="0" r="0" b="0"/>
                <wp:wrapThrough wrapText="bothSides">
                  <wp:wrapPolygon edited="0">
                    <wp:start x="0" y="0"/>
                    <wp:lineTo x="0" y="21600"/>
                    <wp:lineTo x="21600" y="21600"/>
                    <wp:lineTo x="21600" y="0"/>
                  </wp:wrapPolygon>
                </wp:wrapThrough>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0400" cy="0"/>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70A854" id="Straight Connector 1" o:spid="_x0000_s1026" alt="&quot;&quot;" style="position:absolute;z-index:251660288;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 from="0,21.25pt" to="39.4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" strokecolor="#b25eff [3204]" strokeweight=".5pt">
                <v:stroke joinstyle="miter"/>
                <w10:wrap type="through"/>
              </v:line>
            </w:pict>
          </mc:Fallback>
        </mc:AlternateContent>
      </w:r>
    </w:p>
    <w:p w14:paraId="76A369F3" w14:textId="77777777" w:rsidR="00F00E9E" w:rsidRDefault="00DC7217" w:rsidP="000C5E3E">
      <w:pPr>
        <w:pStyle w:val="Title"/>
      </w:pPr>
      <w:r>
        <w:t>Handout</w:t>
      </w:r>
      <w:r w:rsidR="00F00E9E">
        <w:t xml:space="preserve"> </w:t>
      </w:r>
    </w:p>
    <w:bookmarkEnd w:id="0"/>
    <w:p w14:paraId="2471FAD3" w14:textId="0B565C26" w:rsidR="00BC6119" w:rsidRPr="00501B09" w:rsidRDefault="00DC7217" w:rsidP="000C5E3E">
      <w:pPr>
        <w:pStyle w:val="Heading1"/>
      </w:pPr>
      <w:r>
        <w:t xml:space="preserve">Using the CEFR CV </w:t>
      </w:r>
      <w:r w:rsidR="00217FF4">
        <w:t>I</w:t>
      </w:r>
      <w:r>
        <w:t xml:space="preserve">nteraction and </w:t>
      </w:r>
      <w:r w:rsidR="00217FF4">
        <w:t>M</w:t>
      </w:r>
      <w:r>
        <w:t>ediation descriptors to inform integrated skills task development</w:t>
      </w:r>
    </w:p>
    <w:p w14:paraId="43836E0B" w14:textId="77777777" w:rsidR="00343352" w:rsidRDefault="00343352" w:rsidP="00343352">
      <w:pPr>
        <w:pStyle w:val="Heading2"/>
        <w:spacing w:after="0"/>
      </w:pPr>
    </w:p>
    <w:p w14:paraId="30737E48" w14:textId="77777777" w:rsidR="00343352" w:rsidRDefault="00343352" w:rsidP="00343352">
      <w:pPr>
        <w:pStyle w:val="Heading2"/>
        <w:spacing w:after="0"/>
      </w:pPr>
    </w:p>
    <w:p w14:paraId="42A7103A" w14:textId="77777777" w:rsidR="00343352" w:rsidRDefault="00343352" w:rsidP="00343352">
      <w:pPr>
        <w:pStyle w:val="Heading2"/>
        <w:spacing w:after="0"/>
      </w:pPr>
    </w:p>
    <w:p w14:paraId="406EEED5" w14:textId="77777777" w:rsidR="00343352" w:rsidRDefault="00343352" w:rsidP="00343352">
      <w:pPr>
        <w:pStyle w:val="Heading2"/>
        <w:spacing w:after="0"/>
      </w:pPr>
    </w:p>
    <w:p w14:paraId="43B02E9E" w14:textId="1E265A9D" w:rsidR="00EA0946" w:rsidRDefault="00343352" w:rsidP="00343352">
      <w:pPr>
        <w:pStyle w:val="Heading2"/>
        <w:spacing w:after="0"/>
      </w:pPr>
      <w:r>
        <w:t xml:space="preserve">Dr </w:t>
      </w:r>
      <w:r w:rsidR="00DC7217">
        <w:t>Carolyn Westbrook</w:t>
      </w:r>
      <w:bookmarkEnd w:id="1"/>
      <w:r>
        <w:t>, SFHEA</w:t>
      </w:r>
    </w:p>
    <w:p w14:paraId="537A14CF" w14:textId="27800536" w:rsidR="00343352" w:rsidRPr="00343352" w:rsidRDefault="00343352" w:rsidP="00343352">
      <w:pPr>
        <w:pStyle w:val="Heading2"/>
        <w:spacing w:before="0"/>
        <w:rPr>
          <w:sz w:val="36"/>
          <w:szCs w:val="36"/>
        </w:rPr>
      </w:pPr>
      <w:r w:rsidRPr="00343352">
        <w:rPr>
          <w:sz w:val="36"/>
          <w:szCs w:val="36"/>
        </w:rPr>
        <w:t>Test Development Researcher, British Council</w:t>
      </w:r>
    </w:p>
    <w:p w14:paraId="41F0B176" w14:textId="77777777" w:rsidR="00DC7217" w:rsidRDefault="00DC7217" w:rsidP="000C5E3E">
      <w:pPr>
        <w:spacing w:after="0"/>
        <w:rPr>
          <w:rFonts w:asciiTheme="majorHAnsi" w:eastAsiaTheme="majorEastAsia" w:hAnsiTheme="majorHAnsi" w:cstheme="majorBidi"/>
          <w:b/>
          <w:bCs/>
          <w:color w:val="230859" w:themeColor="text2"/>
          <w:sz w:val="28"/>
          <w:szCs w:val="28"/>
        </w:rPr>
      </w:pPr>
      <w:bookmarkStart w:id="2" w:name="_Toc94180157"/>
      <w:r>
        <w:br w:type="page"/>
      </w:r>
    </w:p>
    <w:p w14:paraId="3F3AC944" w14:textId="7823B6D8" w:rsidR="00DC7217" w:rsidRDefault="007439B6" w:rsidP="000C5E3E">
      <w:pPr>
        <w:pStyle w:val="Heading3"/>
      </w:pPr>
      <w:r>
        <w:lastRenderedPageBreak/>
        <w:t>Task</w:t>
      </w:r>
      <w:r w:rsidR="009702DB">
        <w:t xml:space="preserve"> 1: </w:t>
      </w:r>
      <w:r w:rsidR="00DC7217">
        <w:t xml:space="preserve">CEFR CV Familiarisation task </w:t>
      </w:r>
    </w:p>
    <w:p w14:paraId="4D481D54" w14:textId="77777777" w:rsidR="00DC7217" w:rsidRPr="00DC7217" w:rsidRDefault="00DC7217" w:rsidP="000C5E3E">
      <w:pPr>
        <w:pStyle w:val="Heading4"/>
        <w:rPr>
          <w:b/>
          <w:bCs/>
        </w:rPr>
      </w:pPr>
      <w:r w:rsidRPr="00DC7217">
        <w:rPr>
          <w:b/>
          <w:bCs/>
        </w:rPr>
        <w:t>Interaction scale: Informal discussion (with friends)</w:t>
      </w:r>
    </w:p>
    <w:p w14:paraId="629A015F" w14:textId="77777777" w:rsidR="00DC7217" w:rsidRPr="00DC7217" w:rsidRDefault="00DC7217" w:rsidP="000C5E3E">
      <w:r w:rsidRPr="00DC7217">
        <w:t>Complete the table by matching the CEFR level from the box below to the corresponding descriptors.</w:t>
      </w:r>
    </w:p>
    <w:tbl>
      <w:tblPr>
        <w:tblStyle w:val="TableGrid"/>
        <w:tblW w:w="0" w:type="auto"/>
        <w:jc w:val="center"/>
        <w:tblLook w:val="04A0" w:firstRow="1" w:lastRow="0" w:firstColumn="1" w:lastColumn="0" w:noHBand="0" w:noVBand="1"/>
      </w:tblPr>
      <w:tblGrid>
        <w:gridCol w:w="3823"/>
      </w:tblGrid>
      <w:tr w:rsidR="00DC7217" w:rsidRPr="007A039A" w14:paraId="5724C69F" w14:textId="77777777" w:rsidTr="00DC7217">
        <w:trPr>
          <w:jc w:val="center"/>
        </w:trPr>
        <w:tc>
          <w:tcPr>
            <w:tcW w:w="3823" w:type="dxa"/>
          </w:tcPr>
          <w:p w14:paraId="49337BE4" w14:textId="77777777" w:rsidR="00DC7217" w:rsidRPr="007A039A" w:rsidRDefault="00DC7217" w:rsidP="000C5E3E">
            <w:pPr>
              <w:spacing w:before="60" w:after="60"/>
              <w:jc w:val="center"/>
              <w:rPr>
                <w:rFonts w:ascii="British Council Sans" w:hAnsi="British Council Sans" w:cstheme="minorHAnsi"/>
                <w:b/>
                <w:bCs/>
                <w:sz w:val="20"/>
                <w:szCs w:val="20"/>
              </w:rPr>
            </w:pPr>
            <w:r w:rsidRPr="007A039A">
              <w:rPr>
                <w:rFonts w:ascii="British Council Sans" w:hAnsi="British Council Sans" w:cstheme="minorHAnsi"/>
                <w:b/>
                <w:bCs/>
                <w:sz w:val="20"/>
                <w:szCs w:val="20"/>
              </w:rPr>
              <w:t>A1     A2     B1     B2     C1     C2</w:t>
            </w:r>
          </w:p>
        </w:tc>
      </w:tr>
    </w:tbl>
    <w:p w14:paraId="38E4B813" w14:textId="77777777" w:rsidR="00DC7217" w:rsidRPr="00DC7217" w:rsidRDefault="00DC7217" w:rsidP="000C5E3E">
      <w:pPr>
        <w:spacing w:after="0"/>
        <w:rPr>
          <w:rFonts w:cstheme="minorHAnsi"/>
          <w:i/>
          <w:iCs/>
        </w:rPr>
      </w:pPr>
    </w:p>
    <w:tbl>
      <w:tblPr>
        <w:tblStyle w:val="TableGrid"/>
        <w:tblW w:w="10774" w:type="dxa"/>
        <w:tblInd w:w="-714" w:type="dxa"/>
        <w:tblLook w:val="04A0" w:firstRow="1" w:lastRow="0" w:firstColumn="1" w:lastColumn="0" w:noHBand="0" w:noVBand="1"/>
      </w:tblPr>
      <w:tblGrid>
        <w:gridCol w:w="993"/>
        <w:gridCol w:w="9781"/>
      </w:tblGrid>
      <w:tr w:rsidR="00DC7217" w:rsidRPr="007A039A" w14:paraId="6969A2A8" w14:textId="77777777" w:rsidTr="00387874">
        <w:tc>
          <w:tcPr>
            <w:tcW w:w="993" w:type="dxa"/>
            <w:tcBorders>
              <w:bottom w:val="single" w:sz="4" w:space="0" w:color="auto"/>
            </w:tcBorders>
          </w:tcPr>
          <w:p w14:paraId="39768379" w14:textId="77777777" w:rsidR="00DC7217" w:rsidRPr="007A039A" w:rsidRDefault="00DC7217" w:rsidP="000C5E3E">
            <w:pPr>
              <w:spacing w:before="60" w:after="60"/>
              <w:jc w:val="center"/>
              <w:rPr>
                <w:rFonts w:ascii="British Council Sans" w:hAnsi="British Council Sans" w:cstheme="minorHAnsi"/>
                <w:b/>
                <w:bCs/>
                <w:sz w:val="20"/>
                <w:szCs w:val="20"/>
              </w:rPr>
            </w:pPr>
            <w:r w:rsidRPr="007A039A">
              <w:rPr>
                <w:rFonts w:ascii="British Council Sans" w:hAnsi="British Council Sans" w:cstheme="minorHAnsi"/>
                <w:b/>
                <w:bCs/>
                <w:sz w:val="20"/>
                <w:szCs w:val="20"/>
              </w:rPr>
              <w:t>CEFR Level</w:t>
            </w:r>
          </w:p>
        </w:tc>
        <w:tc>
          <w:tcPr>
            <w:tcW w:w="9781" w:type="dxa"/>
            <w:tcBorders>
              <w:bottom w:val="single" w:sz="4" w:space="0" w:color="auto"/>
            </w:tcBorders>
          </w:tcPr>
          <w:p w14:paraId="129E993E" w14:textId="77777777" w:rsidR="00DC7217" w:rsidRPr="007A039A" w:rsidRDefault="00DC7217" w:rsidP="000C5E3E">
            <w:pPr>
              <w:spacing w:before="60" w:after="60"/>
              <w:jc w:val="center"/>
              <w:rPr>
                <w:rFonts w:ascii="British Council Sans" w:hAnsi="British Council Sans" w:cstheme="minorHAnsi"/>
                <w:b/>
                <w:bCs/>
                <w:sz w:val="20"/>
                <w:szCs w:val="20"/>
              </w:rPr>
            </w:pPr>
            <w:r w:rsidRPr="007A039A">
              <w:rPr>
                <w:rFonts w:ascii="British Council Sans" w:hAnsi="British Council Sans" w:cstheme="minorHAnsi"/>
                <w:b/>
                <w:bCs/>
                <w:sz w:val="20"/>
                <w:szCs w:val="20"/>
              </w:rPr>
              <w:t>Descriptor</w:t>
            </w:r>
          </w:p>
        </w:tc>
      </w:tr>
      <w:tr w:rsidR="00DC7217" w:rsidRPr="007A039A" w14:paraId="72FA25D1" w14:textId="77777777" w:rsidTr="00387874">
        <w:tc>
          <w:tcPr>
            <w:tcW w:w="993" w:type="dxa"/>
            <w:vMerge w:val="restart"/>
          </w:tcPr>
          <w:p w14:paraId="1491FDA5" w14:textId="138D7CF1" w:rsidR="00DC7217" w:rsidRPr="007A039A" w:rsidRDefault="00DC7217" w:rsidP="000C5E3E">
            <w:pPr>
              <w:spacing w:before="60" w:after="60"/>
              <w:jc w:val="center"/>
              <w:rPr>
                <w:rFonts w:ascii="British Council Sans" w:hAnsi="British Council Sans" w:cstheme="minorHAnsi"/>
                <w:sz w:val="20"/>
                <w:szCs w:val="20"/>
              </w:rPr>
            </w:pPr>
          </w:p>
        </w:tc>
        <w:tc>
          <w:tcPr>
            <w:tcW w:w="9781" w:type="dxa"/>
            <w:tcBorders>
              <w:bottom w:val="dashed" w:sz="4" w:space="0" w:color="auto"/>
            </w:tcBorders>
          </w:tcPr>
          <w:p w14:paraId="3FBC6B06" w14:textId="77777777" w:rsidR="00DC7217" w:rsidRPr="007A039A" w:rsidRDefault="00DC7217" w:rsidP="00CB0EA0">
            <w:pPr>
              <w:pStyle w:val="ListParagraph"/>
              <w:numPr>
                <w:ilvl w:val="0"/>
                <w:numId w:val="10"/>
              </w:numPr>
              <w:ind w:left="184" w:hanging="184"/>
              <w:rPr>
                <w:rFonts w:ascii="British Council Sans" w:hAnsi="British Council Sans" w:cstheme="minorHAnsi"/>
                <w:sz w:val="20"/>
                <w:szCs w:val="20"/>
              </w:rPr>
            </w:pPr>
            <w:r w:rsidRPr="007A039A">
              <w:rPr>
                <w:rFonts w:ascii="British Council Sans" w:hAnsi="British Council Sans" w:cstheme="minorHAnsi"/>
                <w:sz w:val="20"/>
                <w:szCs w:val="20"/>
              </w:rPr>
              <w:t>Can keep up with an animated discussion between proficient users of the target language.</w:t>
            </w:r>
          </w:p>
          <w:p w14:paraId="3A6294FB" w14:textId="77777777" w:rsidR="00DC7217" w:rsidRPr="007A039A" w:rsidRDefault="00DC7217" w:rsidP="00CB0EA0">
            <w:pPr>
              <w:pStyle w:val="ListParagraph"/>
              <w:numPr>
                <w:ilvl w:val="0"/>
                <w:numId w:val="10"/>
              </w:numPr>
              <w:ind w:left="184" w:hanging="184"/>
              <w:rPr>
                <w:rFonts w:ascii="British Council Sans" w:hAnsi="British Council Sans" w:cstheme="minorHAnsi"/>
                <w:sz w:val="20"/>
                <w:szCs w:val="20"/>
              </w:rPr>
            </w:pPr>
            <w:r w:rsidRPr="007A039A">
              <w:rPr>
                <w:rFonts w:ascii="British Council Sans" w:hAnsi="British Council Sans" w:cstheme="minorHAnsi"/>
                <w:sz w:val="20"/>
                <w:szCs w:val="20"/>
              </w:rPr>
              <w:t>Can express their ideas and opinions with precision, and present and respond to complex lines of argument convincingly.</w:t>
            </w:r>
          </w:p>
        </w:tc>
      </w:tr>
      <w:tr w:rsidR="00DC7217" w:rsidRPr="007A039A" w14:paraId="326A976D" w14:textId="77777777" w:rsidTr="00387874">
        <w:tc>
          <w:tcPr>
            <w:tcW w:w="993" w:type="dxa"/>
            <w:vMerge/>
          </w:tcPr>
          <w:p w14:paraId="0189AB74" w14:textId="77777777" w:rsidR="00DC7217" w:rsidRPr="007A039A" w:rsidRDefault="00DC7217" w:rsidP="000C5E3E">
            <w:pPr>
              <w:rPr>
                <w:rFonts w:ascii="British Council Sans" w:hAnsi="British Council Sans" w:cstheme="minorHAnsi"/>
                <w:sz w:val="20"/>
                <w:szCs w:val="20"/>
              </w:rPr>
            </w:pPr>
          </w:p>
        </w:tc>
        <w:tc>
          <w:tcPr>
            <w:tcW w:w="9781" w:type="dxa"/>
            <w:tcBorders>
              <w:top w:val="dashed" w:sz="4" w:space="0" w:color="auto"/>
            </w:tcBorders>
          </w:tcPr>
          <w:p w14:paraId="1983439B" w14:textId="77777777" w:rsidR="00DC7217" w:rsidRPr="007A039A" w:rsidRDefault="00DC7217" w:rsidP="00CB0EA0">
            <w:pPr>
              <w:pStyle w:val="ListParagraph"/>
              <w:numPr>
                <w:ilvl w:val="0"/>
                <w:numId w:val="10"/>
              </w:numPr>
              <w:ind w:left="184" w:hanging="184"/>
              <w:rPr>
                <w:rFonts w:ascii="British Council Sans" w:hAnsi="British Council Sans" w:cstheme="minorHAnsi"/>
                <w:sz w:val="20"/>
                <w:szCs w:val="20"/>
              </w:rPr>
            </w:pPr>
            <w:r w:rsidRPr="007A039A">
              <w:rPr>
                <w:rFonts w:ascii="British Council Sans" w:hAnsi="British Council Sans" w:cstheme="minorHAnsi"/>
                <w:sz w:val="20"/>
                <w:szCs w:val="20"/>
              </w:rPr>
              <w:t>Can take an active part in informal discussion in familiar contexts, commenting, putting a point of view clearly, evaluating alternative proposals and making and responding to hypotheses.</w:t>
            </w:r>
          </w:p>
          <w:p w14:paraId="5BC54934" w14:textId="77777777" w:rsidR="00DC7217" w:rsidRPr="007A039A" w:rsidRDefault="00DC7217" w:rsidP="00CB0EA0">
            <w:pPr>
              <w:pStyle w:val="ListParagraph"/>
              <w:numPr>
                <w:ilvl w:val="0"/>
                <w:numId w:val="10"/>
              </w:numPr>
              <w:ind w:left="184" w:hanging="184"/>
              <w:rPr>
                <w:rFonts w:ascii="British Council Sans" w:hAnsi="British Council Sans" w:cstheme="minorHAnsi"/>
                <w:sz w:val="20"/>
                <w:szCs w:val="20"/>
              </w:rPr>
            </w:pPr>
            <w:r w:rsidRPr="007A039A">
              <w:rPr>
                <w:rFonts w:ascii="British Council Sans" w:hAnsi="British Council Sans" w:cstheme="minorHAnsi"/>
                <w:sz w:val="20"/>
                <w:szCs w:val="20"/>
              </w:rPr>
              <w:t xml:space="preserve">Can with some effort catch much of what is said around them in </w:t>
            </w:r>
            <w:proofErr w:type="gramStart"/>
            <w:r w:rsidRPr="007A039A">
              <w:rPr>
                <w:rFonts w:ascii="British Council Sans" w:hAnsi="British Council Sans" w:cstheme="minorHAnsi"/>
                <w:sz w:val="20"/>
                <w:szCs w:val="20"/>
              </w:rPr>
              <w:t>discussion, but</w:t>
            </w:r>
            <w:proofErr w:type="gramEnd"/>
            <w:r w:rsidRPr="007A039A">
              <w:rPr>
                <w:rFonts w:ascii="British Council Sans" w:hAnsi="British Council Sans" w:cstheme="minorHAnsi"/>
                <w:sz w:val="20"/>
                <w:szCs w:val="20"/>
              </w:rPr>
              <w:t xml:space="preserve"> may find it difficult to participate effectively in discussion with several users of the target language who do not modify their language in any way.</w:t>
            </w:r>
          </w:p>
          <w:p w14:paraId="3A964890" w14:textId="77777777" w:rsidR="00DC7217" w:rsidRPr="007A039A" w:rsidRDefault="00DC7217" w:rsidP="00CB0EA0">
            <w:pPr>
              <w:pStyle w:val="ListParagraph"/>
              <w:numPr>
                <w:ilvl w:val="0"/>
                <w:numId w:val="10"/>
              </w:numPr>
              <w:ind w:left="184" w:hanging="184"/>
              <w:rPr>
                <w:rFonts w:ascii="British Council Sans" w:hAnsi="British Council Sans" w:cstheme="minorHAnsi"/>
                <w:sz w:val="20"/>
                <w:szCs w:val="20"/>
              </w:rPr>
            </w:pPr>
            <w:r w:rsidRPr="007A039A">
              <w:rPr>
                <w:rFonts w:ascii="British Council Sans" w:hAnsi="British Council Sans" w:cstheme="minorHAnsi"/>
                <w:sz w:val="20"/>
                <w:szCs w:val="20"/>
              </w:rPr>
              <w:t xml:space="preserve">Can account for and sustain their opinions in discussion by providing relevant explanations, </w:t>
            </w:r>
            <w:proofErr w:type="gramStart"/>
            <w:r w:rsidRPr="007A039A">
              <w:rPr>
                <w:rFonts w:ascii="British Council Sans" w:hAnsi="British Council Sans" w:cstheme="minorHAnsi"/>
                <w:sz w:val="20"/>
                <w:szCs w:val="20"/>
              </w:rPr>
              <w:t>arguments</w:t>
            </w:r>
            <w:proofErr w:type="gramEnd"/>
            <w:r w:rsidRPr="007A039A">
              <w:rPr>
                <w:rFonts w:ascii="British Council Sans" w:hAnsi="British Council Sans" w:cstheme="minorHAnsi"/>
                <w:sz w:val="20"/>
                <w:szCs w:val="20"/>
              </w:rPr>
              <w:t xml:space="preserve"> and comments.</w:t>
            </w:r>
          </w:p>
        </w:tc>
      </w:tr>
      <w:tr w:rsidR="00DC7217" w:rsidRPr="007A039A" w14:paraId="65C6F5CF" w14:textId="77777777" w:rsidTr="00387874">
        <w:tc>
          <w:tcPr>
            <w:tcW w:w="993" w:type="dxa"/>
          </w:tcPr>
          <w:p w14:paraId="3E4005A4" w14:textId="67B36C07" w:rsidR="00DC7217" w:rsidRPr="007A039A" w:rsidRDefault="00DC7217" w:rsidP="000C5E3E">
            <w:pPr>
              <w:spacing w:before="60" w:after="60"/>
              <w:jc w:val="center"/>
              <w:rPr>
                <w:rFonts w:ascii="British Council Sans" w:hAnsi="British Council Sans" w:cstheme="minorHAnsi"/>
                <w:sz w:val="20"/>
                <w:szCs w:val="20"/>
              </w:rPr>
            </w:pPr>
          </w:p>
        </w:tc>
        <w:tc>
          <w:tcPr>
            <w:tcW w:w="9781" w:type="dxa"/>
          </w:tcPr>
          <w:p w14:paraId="392544A3" w14:textId="77777777" w:rsidR="00DC7217" w:rsidRPr="007A039A" w:rsidRDefault="00DC7217" w:rsidP="00CB0EA0">
            <w:pPr>
              <w:pStyle w:val="ListParagraph"/>
              <w:numPr>
                <w:ilvl w:val="0"/>
                <w:numId w:val="10"/>
              </w:numPr>
              <w:ind w:left="184" w:hanging="184"/>
              <w:rPr>
                <w:rFonts w:ascii="British Council Sans" w:hAnsi="British Council Sans" w:cstheme="minorHAnsi"/>
                <w:sz w:val="20"/>
                <w:szCs w:val="20"/>
              </w:rPr>
            </w:pPr>
            <w:r w:rsidRPr="007A039A">
              <w:rPr>
                <w:rFonts w:ascii="British Council Sans" w:hAnsi="British Council Sans" w:cstheme="minorHAnsi"/>
                <w:sz w:val="20"/>
                <w:szCs w:val="20"/>
              </w:rPr>
              <w:t xml:space="preserve">Can exchange likes and dislikes for sports, foods, etc., using a limited repertoire of expressions, when addressed clearly, </w:t>
            </w:r>
            <w:proofErr w:type="gramStart"/>
            <w:r w:rsidRPr="007A039A">
              <w:rPr>
                <w:rFonts w:ascii="British Council Sans" w:hAnsi="British Council Sans" w:cstheme="minorHAnsi"/>
                <w:sz w:val="20"/>
                <w:szCs w:val="20"/>
              </w:rPr>
              <w:t>slowly</w:t>
            </w:r>
            <w:proofErr w:type="gramEnd"/>
            <w:r w:rsidRPr="007A039A">
              <w:rPr>
                <w:rFonts w:ascii="British Council Sans" w:hAnsi="British Council Sans" w:cstheme="minorHAnsi"/>
                <w:sz w:val="20"/>
                <w:szCs w:val="20"/>
              </w:rPr>
              <w:t xml:space="preserve"> and directly.</w:t>
            </w:r>
          </w:p>
        </w:tc>
      </w:tr>
      <w:tr w:rsidR="00DC7217" w:rsidRPr="007A039A" w14:paraId="74DF24AD" w14:textId="77777777" w:rsidTr="00387874">
        <w:tc>
          <w:tcPr>
            <w:tcW w:w="993" w:type="dxa"/>
          </w:tcPr>
          <w:p w14:paraId="1CD0E2D0" w14:textId="77777777" w:rsidR="00DC7217" w:rsidRPr="007A039A" w:rsidRDefault="00DC7217" w:rsidP="000C5E3E">
            <w:pPr>
              <w:spacing w:before="60" w:after="60"/>
              <w:jc w:val="center"/>
              <w:rPr>
                <w:rFonts w:ascii="British Council Sans" w:hAnsi="British Council Sans" w:cstheme="minorHAnsi"/>
                <w:b/>
                <w:bCs/>
                <w:sz w:val="20"/>
                <w:szCs w:val="20"/>
              </w:rPr>
            </w:pPr>
            <w:r w:rsidRPr="007A039A">
              <w:rPr>
                <w:rFonts w:ascii="British Council Sans" w:hAnsi="British Council Sans" w:cstheme="minorHAnsi"/>
                <w:b/>
                <w:bCs/>
                <w:sz w:val="20"/>
                <w:szCs w:val="20"/>
              </w:rPr>
              <w:t>Pre-A1</w:t>
            </w:r>
          </w:p>
        </w:tc>
        <w:tc>
          <w:tcPr>
            <w:tcW w:w="9781" w:type="dxa"/>
          </w:tcPr>
          <w:p w14:paraId="149A0C86" w14:textId="77777777" w:rsidR="00DC7217" w:rsidRPr="007A039A" w:rsidRDefault="00DC7217" w:rsidP="00CB0EA0">
            <w:pPr>
              <w:pStyle w:val="ListParagraph"/>
              <w:numPr>
                <w:ilvl w:val="0"/>
                <w:numId w:val="10"/>
              </w:numPr>
              <w:ind w:left="184" w:hanging="184"/>
              <w:rPr>
                <w:rFonts w:ascii="British Council Sans" w:hAnsi="British Council Sans" w:cstheme="minorHAnsi"/>
                <w:sz w:val="20"/>
                <w:szCs w:val="20"/>
              </w:rPr>
            </w:pPr>
            <w:r w:rsidRPr="007A039A">
              <w:rPr>
                <w:rFonts w:ascii="British Council Sans" w:hAnsi="British Council Sans" w:cstheme="minorHAnsi"/>
                <w:sz w:val="20"/>
                <w:szCs w:val="20"/>
              </w:rPr>
              <w:t>No descriptor available.</w:t>
            </w:r>
          </w:p>
        </w:tc>
      </w:tr>
      <w:tr w:rsidR="00DC7217" w:rsidRPr="007A039A" w14:paraId="36D941AC" w14:textId="77777777" w:rsidTr="00387874">
        <w:tc>
          <w:tcPr>
            <w:tcW w:w="993" w:type="dxa"/>
          </w:tcPr>
          <w:p w14:paraId="2F8F034D" w14:textId="77C7E5AC" w:rsidR="00DC7217" w:rsidRPr="007A039A" w:rsidRDefault="00DC7217" w:rsidP="000C5E3E">
            <w:pPr>
              <w:spacing w:before="60" w:after="60"/>
              <w:jc w:val="center"/>
              <w:rPr>
                <w:rFonts w:ascii="British Council Sans" w:hAnsi="British Council Sans" w:cstheme="minorHAnsi"/>
                <w:sz w:val="20"/>
                <w:szCs w:val="20"/>
              </w:rPr>
            </w:pPr>
          </w:p>
        </w:tc>
        <w:tc>
          <w:tcPr>
            <w:tcW w:w="9781" w:type="dxa"/>
            <w:tcBorders>
              <w:bottom w:val="single" w:sz="4" w:space="0" w:color="auto"/>
            </w:tcBorders>
          </w:tcPr>
          <w:p w14:paraId="1C7E5D98" w14:textId="77777777" w:rsidR="00DC7217" w:rsidRPr="007A039A" w:rsidRDefault="00DC7217" w:rsidP="00CB0EA0">
            <w:pPr>
              <w:pStyle w:val="ListParagraph"/>
              <w:numPr>
                <w:ilvl w:val="0"/>
                <w:numId w:val="10"/>
              </w:numPr>
              <w:ind w:left="184" w:hanging="184"/>
              <w:rPr>
                <w:rFonts w:ascii="British Council Sans" w:hAnsi="British Council Sans" w:cstheme="minorHAnsi"/>
                <w:sz w:val="20"/>
                <w:szCs w:val="20"/>
              </w:rPr>
            </w:pPr>
            <w:r w:rsidRPr="007A039A">
              <w:rPr>
                <w:rFonts w:ascii="British Council Sans" w:hAnsi="British Council Sans" w:cstheme="minorHAnsi"/>
                <w:sz w:val="20"/>
                <w:szCs w:val="20"/>
              </w:rPr>
              <w:t>Can easily follow and contribute to complex interactions between third parties in group discussion even on abstract, complex unfamiliar topics.</w:t>
            </w:r>
          </w:p>
        </w:tc>
      </w:tr>
      <w:tr w:rsidR="00DC7217" w:rsidRPr="007A039A" w14:paraId="55FF6C15" w14:textId="77777777" w:rsidTr="00387874">
        <w:tc>
          <w:tcPr>
            <w:tcW w:w="993" w:type="dxa"/>
            <w:vMerge w:val="restart"/>
          </w:tcPr>
          <w:p w14:paraId="47B938D4" w14:textId="34ECC961" w:rsidR="00DC7217" w:rsidRPr="007A039A" w:rsidRDefault="00DC7217" w:rsidP="000C5E3E">
            <w:pPr>
              <w:spacing w:before="60" w:after="60"/>
              <w:jc w:val="center"/>
              <w:rPr>
                <w:rFonts w:ascii="British Council Sans" w:hAnsi="British Council Sans" w:cstheme="minorHAnsi"/>
                <w:sz w:val="20"/>
                <w:szCs w:val="20"/>
              </w:rPr>
            </w:pPr>
          </w:p>
        </w:tc>
        <w:tc>
          <w:tcPr>
            <w:tcW w:w="9781" w:type="dxa"/>
            <w:tcBorders>
              <w:bottom w:val="dashed" w:sz="4" w:space="0" w:color="auto"/>
            </w:tcBorders>
          </w:tcPr>
          <w:p w14:paraId="27C5F296" w14:textId="77777777" w:rsidR="00DC7217" w:rsidRPr="007A039A" w:rsidRDefault="00DC7217" w:rsidP="00CB0EA0">
            <w:pPr>
              <w:pStyle w:val="ListParagraph"/>
              <w:numPr>
                <w:ilvl w:val="0"/>
                <w:numId w:val="10"/>
              </w:numPr>
              <w:ind w:left="184" w:hanging="184"/>
              <w:rPr>
                <w:rFonts w:ascii="British Council Sans" w:hAnsi="British Council Sans" w:cstheme="minorHAnsi"/>
                <w:sz w:val="20"/>
                <w:szCs w:val="20"/>
              </w:rPr>
            </w:pPr>
            <w:r w:rsidRPr="007A039A">
              <w:rPr>
                <w:rFonts w:ascii="British Council Sans" w:hAnsi="British Council Sans" w:cstheme="minorHAnsi"/>
                <w:sz w:val="20"/>
                <w:szCs w:val="20"/>
              </w:rPr>
              <w:t>Can follow much of what is said around them on general topics, provided interlocutors avoid very idiomatic usage and articulate clearly.</w:t>
            </w:r>
          </w:p>
          <w:p w14:paraId="6FF82899" w14:textId="77777777" w:rsidR="00DC7217" w:rsidRPr="007A039A" w:rsidRDefault="00DC7217" w:rsidP="00CB0EA0">
            <w:pPr>
              <w:pStyle w:val="ListParagraph"/>
              <w:numPr>
                <w:ilvl w:val="0"/>
                <w:numId w:val="10"/>
              </w:numPr>
              <w:ind w:left="184" w:hanging="184"/>
              <w:rPr>
                <w:rFonts w:ascii="British Council Sans" w:hAnsi="British Council Sans" w:cstheme="minorHAnsi"/>
                <w:sz w:val="20"/>
                <w:szCs w:val="20"/>
              </w:rPr>
            </w:pPr>
            <w:r w:rsidRPr="007A039A">
              <w:rPr>
                <w:rFonts w:ascii="British Council Sans" w:hAnsi="British Council Sans" w:cstheme="minorHAnsi"/>
                <w:sz w:val="20"/>
                <w:szCs w:val="20"/>
              </w:rPr>
              <w:t>Can express their thoughts about abstract or cultural topics such as music or films.</w:t>
            </w:r>
          </w:p>
          <w:p w14:paraId="1E3A7A0F" w14:textId="77777777" w:rsidR="00DC7217" w:rsidRPr="007A039A" w:rsidRDefault="00DC7217" w:rsidP="00CB0EA0">
            <w:pPr>
              <w:pStyle w:val="ListParagraph"/>
              <w:numPr>
                <w:ilvl w:val="0"/>
                <w:numId w:val="10"/>
              </w:numPr>
              <w:ind w:left="184" w:hanging="184"/>
              <w:rPr>
                <w:rFonts w:ascii="British Council Sans" w:hAnsi="British Council Sans" w:cstheme="minorHAnsi"/>
                <w:sz w:val="20"/>
                <w:szCs w:val="20"/>
              </w:rPr>
            </w:pPr>
            <w:r w:rsidRPr="007A039A">
              <w:rPr>
                <w:rFonts w:ascii="British Council Sans" w:hAnsi="British Council Sans" w:cstheme="minorHAnsi"/>
                <w:sz w:val="20"/>
                <w:szCs w:val="20"/>
              </w:rPr>
              <w:t>Can explain why something is a problem.</w:t>
            </w:r>
          </w:p>
          <w:p w14:paraId="44694A52" w14:textId="77777777" w:rsidR="00DC7217" w:rsidRPr="007A039A" w:rsidRDefault="00DC7217" w:rsidP="00CB0EA0">
            <w:pPr>
              <w:pStyle w:val="ListParagraph"/>
              <w:numPr>
                <w:ilvl w:val="0"/>
                <w:numId w:val="10"/>
              </w:numPr>
              <w:ind w:left="184" w:hanging="184"/>
              <w:rPr>
                <w:rFonts w:ascii="British Council Sans" w:hAnsi="British Council Sans" w:cstheme="minorHAnsi"/>
                <w:sz w:val="20"/>
                <w:szCs w:val="20"/>
              </w:rPr>
            </w:pPr>
            <w:r w:rsidRPr="007A039A">
              <w:rPr>
                <w:rFonts w:ascii="British Council Sans" w:hAnsi="British Council Sans" w:cstheme="minorHAnsi"/>
                <w:sz w:val="20"/>
                <w:szCs w:val="20"/>
              </w:rPr>
              <w:t>Can give brief comments on the views of others.</w:t>
            </w:r>
          </w:p>
          <w:p w14:paraId="16550076" w14:textId="77777777" w:rsidR="00DC7217" w:rsidRPr="007A039A" w:rsidRDefault="00DC7217" w:rsidP="00CB0EA0">
            <w:pPr>
              <w:pStyle w:val="ListParagraph"/>
              <w:numPr>
                <w:ilvl w:val="0"/>
                <w:numId w:val="10"/>
              </w:numPr>
              <w:ind w:left="184" w:hanging="184"/>
              <w:rPr>
                <w:rFonts w:ascii="British Council Sans" w:hAnsi="British Council Sans" w:cstheme="minorHAnsi"/>
                <w:sz w:val="20"/>
                <w:szCs w:val="20"/>
              </w:rPr>
            </w:pPr>
            <w:r w:rsidRPr="007A039A">
              <w:rPr>
                <w:rFonts w:ascii="British Council Sans" w:hAnsi="British Council Sans" w:cstheme="minorHAnsi"/>
                <w:sz w:val="20"/>
                <w:szCs w:val="20"/>
              </w:rPr>
              <w:t xml:space="preserve">Can </w:t>
            </w:r>
            <w:proofErr w:type="gramStart"/>
            <w:r w:rsidRPr="007A039A">
              <w:rPr>
                <w:rFonts w:ascii="British Council Sans" w:hAnsi="British Council Sans" w:cstheme="minorHAnsi"/>
                <w:sz w:val="20"/>
                <w:szCs w:val="20"/>
              </w:rPr>
              <w:t>compare and contrast</w:t>
            </w:r>
            <w:proofErr w:type="gramEnd"/>
            <w:r w:rsidRPr="007A039A">
              <w:rPr>
                <w:rFonts w:ascii="British Council Sans" w:hAnsi="British Council Sans" w:cstheme="minorHAnsi"/>
                <w:sz w:val="20"/>
                <w:szCs w:val="20"/>
              </w:rPr>
              <w:t xml:space="preserve"> alternatives, discussing what to do, where to go, who or which to choose, etc.</w:t>
            </w:r>
          </w:p>
        </w:tc>
      </w:tr>
      <w:tr w:rsidR="00DC7217" w:rsidRPr="007A039A" w14:paraId="26798AB4" w14:textId="77777777" w:rsidTr="00387874">
        <w:tc>
          <w:tcPr>
            <w:tcW w:w="993" w:type="dxa"/>
            <w:vMerge/>
          </w:tcPr>
          <w:p w14:paraId="42E24AD4" w14:textId="77777777" w:rsidR="00DC7217" w:rsidRPr="007A039A" w:rsidRDefault="00DC7217" w:rsidP="000C5E3E">
            <w:pPr>
              <w:rPr>
                <w:rFonts w:ascii="British Council Sans" w:hAnsi="British Council Sans" w:cstheme="minorHAnsi"/>
                <w:sz w:val="20"/>
                <w:szCs w:val="20"/>
              </w:rPr>
            </w:pPr>
          </w:p>
        </w:tc>
        <w:tc>
          <w:tcPr>
            <w:tcW w:w="9781" w:type="dxa"/>
            <w:tcBorders>
              <w:top w:val="dashed" w:sz="4" w:space="0" w:color="auto"/>
            </w:tcBorders>
          </w:tcPr>
          <w:p w14:paraId="7E5D81C0" w14:textId="77777777" w:rsidR="00DC7217" w:rsidRPr="007A039A" w:rsidRDefault="00DC7217" w:rsidP="00CB0EA0">
            <w:pPr>
              <w:pStyle w:val="ListParagraph"/>
              <w:numPr>
                <w:ilvl w:val="0"/>
                <w:numId w:val="10"/>
              </w:numPr>
              <w:ind w:left="184" w:hanging="184"/>
              <w:rPr>
                <w:rFonts w:ascii="British Council Sans" w:hAnsi="British Council Sans" w:cstheme="minorHAnsi"/>
                <w:sz w:val="20"/>
                <w:szCs w:val="20"/>
              </w:rPr>
            </w:pPr>
            <w:r w:rsidRPr="007A039A">
              <w:rPr>
                <w:rFonts w:ascii="British Council Sans" w:hAnsi="British Council Sans" w:cstheme="minorHAnsi"/>
                <w:sz w:val="20"/>
                <w:szCs w:val="20"/>
              </w:rPr>
              <w:t>Can generally follow the main points in an informal discussion with friends provided they articulate clearly in standard language or a familiar variety.</w:t>
            </w:r>
          </w:p>
          <w:p w14:paraId="6447A1AD" w14:textId="77777777" w:rsidR="00DC7217" w:rsidRPr="007A039A" w:rsidRDefault="00DC7217" w:rsidP="00CB0EA0">
            <w:pPr>
              <w:pStyle w:val="ListParagraph"/>
              <w:numPr>
                <w:ilvl w:val="0"/>
                <w:numId w:val="10"/>
              </w:numPr>
              <w:ind w:left="184" w:hanging="184"/>
              <w:rPr>
                <w:rFonts w:ascii="British Council Sans" w:hAnsi="British Council Sans" w:cstheme="minorHAnsi"/>
                <w:sz w:val="20"/>
                <w:szCs w:val="20"/>
              </w:rPr>
            </w:pPr>
            <w:r w:rsidRPr="007A039A">
              <w:rPr>
                <w:rFonts w:ascii="British Council Sans" w:hAnsi="British Council Sans" w:cstheme="minorHAnsi"/>
                <w:sz w:val="20"/>
                <w:szCs w:val="20"/>
              </w:rPr>
              <w:t>Can give or seek personal views and opinions in discussing topics of interest.</w:t>
            </w:r>
          </w:p>
          <w:p w14:paraId="2B125EAA" w14:textId="77777777" w:rsidR="00DC7217" w:rsidRPr="007A039A" w:rsidRDefault="00DC7217" w:rsidP="00CB0EA0">
            <w:pPr>
              <w:pStyle w:val="ListParagraph"/>
              <w:numPr>
                <w:ilvl w:val="0"/>
                <w:numId w:val="10"/>
              </w:numPr>
              <w:ind w:left="184" w:hanging="184"/>
              <w:rPr>
                <w:rFonts w:ascii="British Council Sans" w:hAnsi="British Council Sans" w:cstheme="minorHAnsi"/>
                <w:sz w:val="20"/>
                <w:szCs w:val="20"/>
              </w:rPr>
            </w:pPr>
            <w:r w:rsidRPr="007A039A">
              <w:rPr>
                <w:rFonts w:ascii="British Council Sans" w:hAnsi="British Council Sans" w:cstheme="minorHAnsi"/>
                <w:sz w:val="20"/>
                <w:szCs w:val="20"/>
              </w:rPr>
              <w:t>Can make their opinions and reactions understood as regards solutions to problems or practical questions of where to go, what to do, or how to organise an event (</w:t>
            </w:r>
            <w:proofErr w:type="gramStart"/>
            <w:r w:rsidRPr="007A039A">
              <w:rPr>
                <w:rFonts w:ascii="British Council Sans" w:hAnsi="British Council Sans" w:cstheme="minorHAnsi"/>
                <w:sz w:val="20"/>
                <w:szCs w:val="20"/>
              </w:rPr>
              <w:t>e.g.</w:t>
            </w:r>
            <w:proofErr w:type="gramEnd"/>
            <w:r w:rsidRPr="007A039A">
              <w:rPr>
                <w:rFonts w:ascii="British Council Sans" w:hAnsi="British Council Sans" w:cstheme="minorHAnsi"/>
                <w:sz w:val="20"/>
                <w:szCs w:val="20"/>
              </w:rPr>
              <w:t xml:space="preserve"> an outing).</w:t>
            </w:r>
          </w:p>
          <w:p w14:paraId="7AC65A0C" w14:textId="77777777" w:rsidR="00DC7217" w:rsidRPr="007A039A" w:rsidRDefault="00DC7217" w:rsidP="00CB0EA0">
            <w:pPr>
              <w:pStyle w:val="ListParagraph"/>
              <w:numPr>
                <w:ilvl w:val="0"/>
                <w:numId w:val="10"/>
              </w:numPr>
              <w:ind w:left="184" w:hanging="184"/>
              <w:rPr>
                <w:rFonts w:ascii="British Council Sans" w:hAnsi="British Council Sans" w:cstheme="minorHAnsi"/>
                <w:sz w:val="20"/>
                <w:szCs w:val="20"/>
              </w:rPr>
            </w:pPr>
            <w:r w:rsidRPr="007A039A">
              <w:rPr>
                <w:rFonts w:ascii="British Council Sans" w:hAnsi="British Council Sans" w:cstheme="minorHAnsi"/>
                <w:sz w:val="20"/>
                <w:szCs w:val="20"/>
              </w:rPr>
              <w:t>Can express beliefs, opinions and agreement and disagreement politely.</w:t>
            </w:r>
          </w:p>
        </w:tc>
      </w:tr>
      <w:tr w:rsidR="00DC7217" w:rsidRPr="007A039A" w14:paraId="16AE5F28" w14:textId="77777777" w:rsidTr="00387874">
        <w:tc>
          <w:tcPr>
            <w:tcW w:w="993" w:type="dxa"/>
          </w:tcPr>
          <w:p w14:paraId="1FCAD71C" w14:textId="5601671B" w:rsidR="00DC7217" w:rsidRPr="007A039A" w:rsidRDefault="00DC7217" w:rsidP="000C5E3E">
            <w:pPr>
              <w:spacing w:before="60" w:after="60"/>
              <w:jc w:val="center"/>
              <w:rPr>
                <w:rFonts w:ascii="British Council Sans" w:hAnsi="British Council Sans" w:cstheme="minorHAnsi"/>
                <w:sz w:val="20"/>
                <w:szCs w:val="20"/>
              </w:rPr>
            </w:pPr>
          </w:p>
        </w:tc>
        <w:tc>
          <w:tcPr>
            <w:tcW w:w="9781" w:type="dxa"/>
            <w:tcBorders>
              <w:bottom w:val="single" w:sz="4" w:space="0" w:color="auto"/>
            </w:tcBorders>
          </w:tcPr>
          <w:p w14:paraId="43AB1E18" w14:textId="77777777" w:rsidR="00DC7217" w:rsidRPr="007A039A" w:rsidRDefault="00DC7217" w:rsidP="00CB0EA0">
            <w:pPr>
              <w:pStyle w:val="ListParagraph"/>
              <w:numPr>
                <w:ilvl w:val="0"/>
                <w:numId w:val="10"/>
              </w:numPr>
              <w:ind w:left="184" w:hanging="184"/>
              <w:rPr>
                <w:rFonts w:ascii="British Council Sans" w:hAnsi="British Council Sans" w:cstheme="minorHAnsi"/>
                <w:sz w:val="20"/>
                <w:szCs w:val="20"/>
              </w:rPr>
            </w:pPr>
            <w:r w:rsidRPr="007A039A">
              <w:rPr>
                <w:rFonts w:ascii="British Council Sans" w:hAnsi="British Council Sans" w:cstheme="minorHAnsi"/>
                <w:sz w:val="20"/>
                <w:szCs w:val="20"/>
              </w:rPr>
              <w:t>Can advise on or discuss sensitive issues without awkwardness, understanding colloquial references and dealing diplomatically with disagreement and criticism.</w:t>
            </w:r>
          </w:p>
        </w:tc>
      </w:tr>
      <w:tr w:rsidR="00DC7217" w:rsidRPr="007A039A" w14:paraId="7F75035E" w14:textId="77777777" w:rsidTr="00387874">
        <w:tc>
          <w:tcPr>
            <w:tcW w:w="993" w:type="dxa"/>
            <w:vMerge w:val="restart"/>
          </w:tcPr>
          <w:p w14:paraId="3A852C3E" w14:textId="5D5FEB79" w:rsidR="00DC7217" w:rsidRPr="007A039A" w:rsidRDefault="00DC7217" w:rsidP="000C5E3E">
            <w:pPr>
              <w:spacing w:before="60" w:after="60"/>
              <w:jc w:val="center"/>
              <w:rPr>
                <w:rFonts w:ascii="British Council Sans" w:hAnsi="British Council Sans" w:cstheme="minorHAnsi"/>
                <w:sz w:val="20"/>
                <w:szCs w:val="20"/>
              </w:rPr>
            </w:pPr>
          </w:p>
        </w:tc>
        <w:tc>
          <w:tcPr>
            <w:tcW w:w="9781" w:type="dxa"/>
            <w:tcBorders>
              <w:bottom w:val="dashed" w:sz="4" w:space="0" w:color="auto"/>
            </w:tcBorders>
          </w:tcPr>
          <w:p w14:paraId="21FF0E88" w14:textId="77777777" w:rsidR="00DC7217" w:rsidRPr="007A039A" w:rsidRDefault="00DC7217" w:rsidP="00CB0EA0">
            <w:pPr>
              <w:pStyle w:val="ListParagraph"/>
              <w:numPr>
                <w:ilvl w:val="0"/>
                <w:numId w:val="10"/>
              </w:numPr>
              <w:ind w:left="184" w:hanging="184"/>
              <w:rPr>
                <w:rFonts w:ascii="British Council Sans" w:hAnsi="British Council Sans" w:cstheme="minorHAnsi"/>
                <w:sz w:val="20"/>
                <w:szCs w:val="20"/>
              </w:rPr>
            </w:pPr>
            <w:r w:rsidRPr="007A039A">
              <w:rPr>
                <w:rFonts w:ascii="British Council Sans" w:hAnsi="British Council Sans" w:cstheme="minorHAnsi"/>
                <w:sz w:val="20"/>
                <w:szCs w:val="20"/>
              </w:rPr>
              <w:t>Can generally identify the topic of discussion around them when it is conducted slowly and clearly.</w:t>
            </w:r>
          </w:p>
          <w:p w14:paraId="50DD403C" w14:textId="77777777" w:rsidR="00DC7217" w:rsidRPr="007A039A" w:rsidRDefault="00DC7217" w:rsidP="00CB0EA0">
            <w:pPr>
              <w:pStyle w:val="ListParagraph"/>
              <w:numPr>
                <w:ilvl w:val="0"/>
                <w:numId w:val="10"/>
              </w:numPr>
              <w:ind w:left="184" w:hanging="184"/>
              <w:rPr>
                <w:rFonts w:ascii="British Council Sans" w:hAnsi="British Council Sans" w:cstheme="minorHAnsi"/>
                <w:sz w:val="20"/>
                <w:szCs w:val="20"/>
              </w:rPr>
            </w:pPr>
            <w:r w:rsidRPr="007A039A">
              <w:rPr>
                <w:rFonts w:ascii="British Council Sans" w:hAnsi="British Council Sans" w:cstheme="minorHAnsi"/>
                <w:sz w:val="20"/>
                <w:szCs w:val="20"/>
              </w:rPr>
              <w:t>Can exchange opinions and compare things and people using simple language.</w:t>
            </w:r>
          </w:p>
          <w:p w14:paraId="52F62CEA" w14:textId="77777777" w:rsidR="00DC7217" w:rsidRPr="007A039A" w:rsidRDefault="00DC7217" w:rsidP="00CB0EA0">
            <w:pPr>
              <w:pStyle w:val="ListParagraph"/>
              <w:numPr>
                <w:ilvl w:val="0"/>
                <w:numId w:val="10"/>
              </w:numPr>
              <w:ind w:left="184" w:hanging="184"/>
              <w:rPr>
                <w:rFonts w:ascii="British Council Sans" w:hAnsi="British Council Sans" w:cstheme="minorHAnsi"/>
                <w:sz w:val="20"/>
                <w:szCs w:val="20"/>
              </w:rPr>
            </w:pPr>
            <w:r w:rsidRPr="007A039A">
              <w:rPr>
                <w:rFonts w:ascii="British Council Sans" w:hAnsi="British Council Sans" w:cstheme="minorHAnsi"/>
                <w:sz w:val="20"/>
                <w:szCs w:val="20"/>
              </w:rPr>
              <w:t>Can discuss what to do in the evening or at the weekend.</w:t>
            </w:r>
          </w:p>
          <w:p w14:paraId="4925F528" w14:textId="77777777" w:rsidR="00DC7217" w:rsidRPr="007A039A" w:rsidRDefault="00DC7217" w:rsidP="00CB0EA0">
            <w:pPr>
              <w:pStyle w:val="ListParagraph"/>
              <w:numPr>
                <w:ilvl w:val="0"/>
                <w:numId w:val="10"/>
              </w:numPr>
              <w:ind w:left="184" w:hanging="184"/>
              <w:rPr>
                <w:rFonts w:ascii="British Council Sans" w:hAnsi="British Council Sans" w:cstheme="minorHAnsi"/>
                <w:sz w:val="20"/>
                <w:szCs w:val="20"/>
              </w:rPr>
            </w:pPr>
            <w:r w:rsidRPr="007A039A">
              <w:rPr>
                <w:rFonts w:ascii="British Council Sans" w:hAnsi="British Council Sans" w:cstheme="minorHAnsi"/>
                <w:sz w:val="20"/>
                <w:szCs w:val="20"/>
              </w:rPr>
              <w:t>Can make and respond to suggestions.</w:t>
            </w:r>
          </w:p>
          <w:p w14:paraId="503AEBCD" w14:textId="77777777" w:rsidR="00DC7217" w:rsidRPr="007A039A" w:rsidRDefault="00DC7217" w:rsidP="00CB0EA0">
            <w:pPr>
              <w:pStyle w:val="ListParagraph"/>
              <w:numPr>
                <w:ilvl w:val="0"/>
                <w:numId w:val="10"/>
              </w:numPr>
              <w:ind w:left="184" w:hanging="184"/>
              <w:rPr>
                <w:rFonts w:ascii="British Council Sans" w:hAnsi="British Council Sans" w:cstheme="minorHAnsi"/>
                <w:sz w:val="20"/>
                <w:szCs w:val="20"/>
              </w:rPr>
            </w:pPr>
            <w:r w:rsidRPr="007A039A">
              <w:rPr>
                <w:rFonts w:ascii="British Council Sans" w:hAnsi="British Council Sans" w:cstheme="minorHAnsi"/>
                <w:sz w:val="20"/>
                <w:szCs w:val="20"/>
              </w:rPr>
              <w:t>Can agree and disagree with others.</w:t>
            </w:r>
          </w:p>
        </w:tc>
      </w:tr>
      <w:tr w:rsidR="00DC7217" w:rsidRPr="007A039A" w14:paraId="3DC768CC" w14:textId="77777777" w:rsidTr="00387874">
        <w:tc>
          <w:tcPr>
            <w:tcW w:w="993" w:type="dxa"/>
            <w:vMerge/>
          </w:tcPr>
          <w:p w14:paraId="470F1C91" w14:textId="77777777" w:rsidR="00DC7217" w:rsidRPr="007A039A" w:rsidRDefault="00DC7217" w:rsidP="000C5E3E">
            <w:pPr>
              <w:rPr>
                <w:rFonts w:ascii="British Council Sans" w:hAnsi="British Council Sans" w:cstheme="minorHAnsi"/>
                <w:sz w:val="20"/>
                <w:szCs w:val="20"/>
              </w:rPr>
            </w:pPr>
          </w:p>
        </w:tc>
        <w:tc>
          <w:tcPr>
            <w:tcW w:w="9781" w:type="dxa"/>
            <w:tcBorders>
              <w:top w:val="dashed" w:sz="4" w:space="0" w:color="auto"/>
            </w:tcBorders>
          </w:tcPr>
          <w:p w14:paraId="29C7C46A" w14:textId="77777777" w:rsidR="00DC7217" w:rsidRPr="007A039A" w:rsidRDefault="00DC7217" w:rsidP="00CB0EA0">
            <w:pPr>
              <w:pStyle w:val="ListParagraph"/>
              <w:numPr>
                <w:ilvl w:val="0"/>
                <w:numId w:val="10"/>
              </w:numPr>
              <w:ind w:left="184" w:hanging="184"/>
              <w:rPr>
                <w:rFonts w:ascii="British Council Sans" w:hAnsi="British Council Sans" w:cstheme="minorHAnsi"/>
                <w:sz w:val="20"/>
                <w:szCs w:val="20"/>
              </w:rPr>
            </w:pPr>
            <w:r w:rsidRPr="007A039A">
              <w:rPr>
                <w:rFonts w:ascii="British Council Sans" w:hAnsi="British Council Sans" w:cstheme="minorHAnsi"/>
                <w:sz w:val="20"/>
                <w:szCs w:val="20"/>
              </w:rPr>
              <w:t xml:space="preserve">Can discuss everyday practical issues in a simple way when addressed clearly, </w:t>
            </w:r>
            <w:proofErr w:type="gramStart"/>
            <w:r w:rsidRPr="007A039A">
              <w:rPr>
                <w:rFonts w:ascii="British Council Sans" w:hAnsi="British Council Sans" w:cstheme="minorHAnsi"/>
                <w:sz w:val="20"/>
                <w:szCs w:val="20"/>
              </w:rPr>
              <w:t>slowly</w:t>
            </w:r>
            <w:proofErr w:type="gramEnd"/>
            <w:r w:rsidRPr="007A039A">
              <w:rPr>
                <w:rFonts w:ascii="British Council Sans" w:hAnsi="British Council Sans" w:cstheme="minorHAnsi"/>
                <w:sz w:val="20"/>
                <w:szCs w:val="20"/>
              </w:rPr>
              <w:t xml:space="preserve"> and directly.</w:t>
            </w:r>
          </w:p>
          <w:p w14:paraId="6FC6D2E6" w14:textId="77777777" w:rsidR="00DC7217" w:rsidRPr="007A039A" w:rsidRDefault="00DC7217" w:rsidP="00CB0EA0">
            <w:pPr>
              <w:pStyle w:val="ListParagraph"/>
              <w:numPr>
                <w:ilvl w:val="0"/>
                <w:numId w:val="10"/>
              </w:numPr>
              <w:ind w:left="184" w:hanging="184"/>
              <w:rPr>
                <w:rFonts w:ascii="British Council Sans" w:hAnsi="British Council Sans" w:cstheme="minorHAnsi"/>
                <w:sz w:val="20"/>
                <w:szCs w:val="20"/>
              </w:rPr>
            </w:pPr>
            <w:r w:rsidRPr="007A039A">
              <w:rPr>
                <w:rFonts w:ascii="British Council Sans" w:hAnsi="British Council Sans" w:cstheme="minorHAnsi"/>
                <w:sz w:val="20"/>
                <w:szCs w:val="20"/>
              </w:rPr>
              <w:t xml:space="preserve">Can discuss what to do, where to go and </w:t>
            </w:r>
            <w:proofErr w:type="gramStart"/>
            <w:r w:rsidRPr="007A039A">
              <w:rPr>
                <w:rFonts w:ascii="British Council Sans" w:hAnsi="British Council Sans" w:cstheme="minorHAnsi"/>
                <w:sz w:val="20"/>
                <w:szCs w:val="20"/>
              </w:rPr>
              <w:t>make arrangements</w:t>
            </w:r>
            <w:proofErr w:type="gramEnd"/>
            <w:r w:rsidRPr="007A039A">
              <w:rPr>
                <w:rFonts w:ascii="British Council Sans" w:hAnsi="British Council Sans" w:cstheme="minorHAnsi"/>
                <w:sz w:val="20"/>
                <w:szCs w:val="20"/>
              </w:rPr>
              <w:t xml:space="preserve"> to meet.</w:t>
            </w:r>
          </w:p>
          <w:p w14:paraId="3995AAD4" w14:textId="77777777" w:rsidR="00DC7217" w:rsidRPr="007A039A" w:rsidRDefault="00DC7217" w:rsidP="00CB0EA0">
            <w:pPr>
              <w:pStyle w:val="ListParagraph"/>
              <w:numPr>
                <w:ilvl w:val="0"/>
                <w:numId w:val="10"/>
              </w:numPr>
              <w:ind w:left="184" w:hanging="184"/>
              <w:rPr>
                <w:rFonts w:ascii="British Council Sans" w:hAnsi="British Council Sans" w:cstheme="minorHAnsi"/>
                <w:sz w:val="20"/>
                <w:szCs w:val="20"/>
              </w:rPr>
            </w:pPr>
            <w:r w:rsidRPr="007A039A">
              <w:rPr>
                <w:rFonts w:ascii="British Council Sans" w:hAnsi="British Council Sans" w:cstheme="minorHAnsi"/>
                <w:sz w:val="20"/>
                <w:szCs w:val="20"/>
              </w:rPr>
              <w:t>Can express opinions in a limited way.</w:t>
            </w:r>
          </w:p>
        </w:tc>
      </w:tr>
    </w:tbl>
    <w:p w14:paraId="260C3586" w14:textId="77777777" w:rsidR="00DC7217" w:rsidRDefault="00DC7217" w:rsidP="000C5E3E"/>
    <w:p w14:paraId="069A90B4" w14:textId="77777777" w:rsidR="003F1A67" w:rsidRDefault="003F1A67" w:rsidP="003F1A67">
      <w:pPr>
        <w:pStyle w:val="Heading3"/>
      </w:pPr>
      <w:r>
        <w:lastRenderedPageBreak/>
        <w:t>CEFR Companion Volume: Informal discussion scale</w:t>
      </w:r>
    </w:p>
    <w:p w14:paraId="72ADEE41" w14:textId="77777777" w:rsidR="003F1A67" w:rsidRDefault="003F1A67" w:rsidP="003F1A67">
      <w:pPr>
        <w:jc w:val="center"/>
      </w:pPr>
      <w:r>
        <w:rPr>
          <w:noProof/>
        </w:rPr>
        <w:drawing>
          <wp:inline distT="0" distB="0" distL="0" distR="0" wp14:anchorId="159A270A" wp14:editId="55D862C1">
            <wp:extent cx="5790565" cy="7213600"/>
            <wp:effectExtent l="0" t="0" r="635" b="6350"/>
            <wp:docPr id="68908032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080322" name="Picture 1" descr="A screenshot of a computer&#10;&#10;Description automatically generated"/>
                    <pic:cNvPicPr/>
                  </pic:nvPicPr>
                  <pic:blipFill rotWithShape="1">
                    <a:blip r:embed="rId8"/>
                    <a:srcRect l="64510" t="11070" r="14446" b="9598"/>
                    <a:stretch/>
                  </pic:blipFill>
                  <pic:spPr bwMode="auto">
                    <a:xfrm>
                      <a:off x="0" y="0"/>
                      <a:ext cx="5801443" cy="7227151"/>
                    </a:xfrm>
                    <a:prstGeom prst="rect">
                      <a:avLst/>
                    </a:prstGeom>
                    <a:ln>
                      <a:noFill/>
                    </a:ln>
                    <a:extLst>
                      <a:ext uri="{53640926-AAD7-44D8-BBD7-CCE9431645EC}">
                        <a14:shadowObscured xmlns:a14="http://schemas.microsoft.com/office/drawing/2010/main"/>
                      </a:ext>
                    </a:extLst>
                  </pic:spPr>
                </pic:pic>
              </a:graphicData>
            </a:graphic>
          </wp:inline>
        </w:drawing>
      </w:r>
    </w:p>
    <w:p w14:paraId="4130ABF1" w14:textId="69E52876" w:rsidR="007439B6" w:rsidRDefault="00A44D4E" w:rsidP="00A44D4E">
      <w:pPr>
        <w:spacing w:after="0"/>
        <w:jc w:val="right"/>
        <w:rPr>
          <w:rFonts w:asciiTheme="majorHAnsi" w:eastAsiaTheme="majorEastAsia" w:hAnsiTheme="majorHAnsi" w:cstheme="majorBidi"/>
          <w:b/>
          <w:bCs/>
          <w:color w:val="230859" w:themeColor="text2"/>
          <w:sz w:val="28"/>
          <w:szCs w:val="28"/>
        </w:rPr>
      </w:pPr>
      <w:r>
        <w:t>(Council of Europe, 2020, p.75)</w:t>
      </w:r>
    </w:p>
    <w:p w14:paraId="5C841624" w14:textId="64AFA3ED" w:rsidR="002955B2" w:rsidRDefault="007439B6" w:rsidP="000C5E3E">
      <w:pPr>
        <w:pStyle w:val="Heading3"/>
      </w:pPr>
      <w:r>
        <w:lastRenderedPageBreak/>
        <w:t>Task</w:t>
      </w:r>
      <w:r w:rsidR="002955B2">
        <w:t xml:space="preserve"> </w:t>
      </w:r>
      <w:r w:rsidR="00BB29CC" w:rsidRPr="00746D55">
        <w:t>2</w:t>
      </w:r>
      <w:r w:rsidR="002955B2">
        <w:t xml:space="preserve">: CEFR CV Familiarisation task </w:t>
      </w:r>
      <w:r w:rsidR="00BB29CC" w:rsidRPr="00746D55">
        <w:t>2</w:t>
      </w:r>
    </w:p>
    <w:p w14:paraId="52524DDA" w14:textId="1D474EB2" w:rsidR="002955B2" w:rsidRPr="007A039A" w:rsidRDefault="002955B2" w:rsidP="000C5E3E">
      <w:pPr>
        <w:pStyle w:val="Heading4"/>
        <w:rPr>
          <w:b/>
          <w:bCs/>
        </w:rPr>
      </w:pPr>
      <w:r w:rsidRPr="007A039A">
        <w:rPr>
          <w:b/>
          <w:bCs/>
        </w:rPr>
        <w:t xml:space="preserve">Mediation scale: </w:t>
      </w:r>
      <w:r w:rsidR="009E53FC">
        <w:rPr>
          <w:b/>
          <w:bCs/>
        </w:rPr>
        <w:t>Explaining data (in graphs, diagrams, etc.)</w:t>
      </w:r>
    </w:p>
    <w:p w14:paraId="3A8177D1" w14:textId="77777777" w:rsidR="002955B2" w:rsidRPr="00DC7217" w:rsidRDefault="002955B2" w:rsidP="000C5E3E">
      <w:r w:rsidRPr="00DC7217">
        <w:t>Complete the table by matching the CEFR level from the box below to the corresponding descriptors.</w:t>
      </w:r>
    </w:p>
    <w:tbl>
      <w:tblPr>
        <w:tblStyle w:val="TableGrid"/>
        <w:tblW w:w="0" w:type="auto"/>
        <w:tblInd w:w="3531" w:type="dxa"/>
        <w:tblLook w:val="04A0" w:firstRow="1" w:lastRow="0" w:firstColumn="1" w:lastColumn="0" w:noHBand="0" w:noVBand="1"/>
      </w:tblPr>
      <w:tblGrid>
        <w:gridCol w:w="3123"/>
      </w:tblGrid>
      <w:tr w:rsidR="002955B2" w:rsidRPr="009E53FC" w14:paraId="546FD204" w14:textId="77777777" w:rsidTr="0030069C">
        <w:tc>
          <w:tcPr>
            <w:tcW w:w="3123" w:type="dxa"/>
          </w:tcPr>
          <w:p w14:paraId="13DE5BAE" w14:textId="77777777" w:rsidR="002955B2" w:rsidRPr="009E53FC" w:rsidRDefault="002955B2" w:rsidP="000C5E3E">
            <w:pPr>
              <w:spacing w:before="60" w:after="60"/>
              <w:jc w:val="center"/>
              <w:rPr>
                <w:rFonts w:ascii="British Council Sans" w:hAnsi="British Council Sans"/>
                <w:b/>
                <w:bCs/>
                <w:sz w:val="20"/>
                <w:szCs w:val="20"/>
              </w:rPr>
            </w:pPr>
            <w:r w:rsidRPr="009E53FC">
              <w:rPr>
                <w:rFonts w:ascii="British Council Sans" w:hAnsi="British Council Sans"/>
                <w:b/>
                <w:bCs/>
                <w:sz w:val="20"/>
                <w:szCs w:val="20"/>
              </w:rPr>
              <w:t>A2     B1     B2     C1     C2</w:t>
            </w:r>
          </w:p>
        </w:tc>
      </w:tr>
    </w:tbl>
    <w:p w14:paraId="577E48FA" w14:textId="77777777" w:rsidR="00DC7217" w:rsidRPr="009E53FC" w:rsidRDefault="00DC7217" w:rsidP="000C5E3E"/>
    <w:tbl>
      <w:tblPr>
        <w:tblStyle w:val="TableGrid"/>
        <w:tblW w:w="9356" w:type="dxa"/>
        <w:tblInd w:w="137" w:type="dxa"/>
        <w:tblLook w:val="04A0" w:firstRow="1" w:lastRow="0" w:firstColumn="1" w:lastColumn="0" w:noHBand="0" w:noVBand="1"/>
      </w:tblPr>
      <w:tblGrid>
        <w:gridCol w:w="794"/>
        <w:gridCol w:w="8562"/>
      </w:tblGrid>
      <w:tr w:rsidR="00D46BCE" w:rsidRPr="00E14C2B" w14:paraId="15A6E7DD" w14:textId="77777777" w:rsidTr="008E0B91">
        <w:tc>
          <w:tcPr>
            <w:tcW w:w="741" w:type="dxa"/>
            <w:tcBorders>
              <w:bottom w:val="single" w:sz="4" w:space="0" w:color="auto"/>
            </w:tcBorders>
          </w:tcPr>
          <w:p w14:paraId="485580AA" w14:textId="77777777" w:rsidR="00D46BCE" w:rsidRPr="00E14C2B" w:rsidRDefault="00D46BCE" w:rsidP="000C5E3E">
            <w:pPr>
              <w:spacing w:before="60" w:after="60"/>
              <w:jc w:val="center"/>
              <w:rPr>
                <w:rFonts w:ascii="British Council Sans" w:hAnsi="British Council Sans"/>
                <w:b/>
                <w:bCs/>
                <w:sz w:val="22"/>
                <w:szCs w:val="22"/>
              </w:rPr>
            </w:pPr>
            <w:r w:rsidRPr="00E14C2B">
              <w:rPr>
                <w:rFonts w:ascii="British Council Sans" w:hAnsi="British Council Sans"/>
                <w:b/>
                <w:bCs/>
                <w:sz w:val="22"/>
                <w:szCs w:val="22"/>
              </w:rPr>
              <w:t>CEFR Level</w:t>
            </w:r>
          </w:p>
        </w:tc>
        <w:tc>
          <w:tcPr>
            <w:tcW w:w="8615" w:type="dxa"/>
            <w:tcBorders>
              <w:bottom w:val="single" w:sz="4" w:space="0" w:color="auto"/>
            </w:tcBorders>
          </w:tcPr>
          <w:p w14:paraId="1335E535" w14:textId="77777777" w:rsidR="00D46BCE" w:rsidRPr="00E14C2B" w:rsidRDefault="00D46BCE" w:rsidP="00CB0EA0">
            <w:pPr>
              <w:spacing w:before="60" w:after="60"/>
              <w:ind w:left="287" w:hanging="287"/>
              <w:jc w:val="center"/>
              <w:rPr>
                <w:rFonts w:ascii="British Council Sans" w:hAnsi="British Council Sans"/>
                <w:b/>
                <w:bCs/>
                <w:sz w:val="22"/>
                <w:szCs w:val="22"/>
              </w:rPr>
            </w:pPr>
            <w:r w:rsidRPr="00E14C2B">
              <w:rPr>
                <w:rFonts w:ascii="British Council Sans" w:hAnsi="British Council Sans"/>
                <w:b/>
                <w:bCs/>
                <w:sz w:val="22"/>
                <w:szCs w:val="22"/>
              </w:rPr>
              <w:t>Descriptor</w:t>
            </w:r>
          </w:p>
        </w:tc>
      </w:tr>
      <w:tr w:rsidR="009E61DE" w:rsidRPr="00E14C2B" w14:paraId="24AE5153" w14:textId="77777777" w:rsidTr="008E0B91">
        <w:tc>
          <w:tcPr>
            <w:tcW w:w="741" w:type="dxa"/>
            <w:vMerge w:val="restart"/>
          </w:tcPr>
          <w:p w14:paraId="3F19D94F" w14:textId="040028A2" w:rsidR="009E61DE" w:rsidRPr="00E14C2B" w:rsidRDefault="009E61DE" w:rsidP="000C5E3E">
            <w:pPr>
              <w:spacing w:before="60" w:after="60"/>
              <w:jc w:val="center"/>
              <w:rPr>
                <w:rFonts w:ascii="British Council Sans" w:hAnsi="British Council Sans"/>
                <w:b/>
                <w:bCs/>
                <w:color w:val="B25EFF" w:themeColor="accent1"/>
                <w:sz w:val="22"/>
                <w:szCs w:val="22"/>
              </w:rPr>
            </w:pPr>
          </w:p>
        </w:tc>
        <w:tc>
          <w:tcPr>
            <w:tcW w:w="8615" w:type="dxa"/>
            <w:tcBorders>
              <w:bottom w:val="dashed" w:sz="4" w:space="0" w:color="auto"/>
            </w:tcBorders>
          </w:tcPr>
          <w:p w14:paraId="5DB2853D" w14:textId="77777777" w:rsidR="009E61DE" w:rsidRPr="00E14C2B" w:rsidRDefault="009E61DE" w:rsidP="00CB0EA0">
            <w:pPr>
              <w:pStyle w:val="ListParagraph"/>
              <w:numPr>
                <w:ilvl w:val="0"/>
                <w:numId w:val="10"/>
              </w:numPr>
              <w:ind w:left="287" w:hanging="287"/>
              <w:rPr>
                <w:rFonts w:ascii="British Council Sans" w:hAnsi="British Council Sans"/>
                <w:sz w:val="22"/>
                <w:szCs w:val="22"/>
              </w:rPr>
            </w:pPr>
            <w:r w:rsidRPr="00E14C2B">
              <w:rPr>
                <w:rFonts w:ascii="British Council Sans" w:hAnsi="British Council Sans"/>
                <w:sz w:val="22"/>
                <w:szCs w:val="22"/>
              </w:rPr>
              <w:t>Can interpret and describe (in Language B) detailed information in diagrams in their fields of interest (with text in Language A), even though lexical gaps may cause hesitation or imprecise formulation.</w:t>
            </w:r>
          </w:p>
        </w:tc>
      </w:tr>
      <w:tr w:rsidR="009E61DE" w:rsidRPr="00E14C2B" w14:paraId="3E8A7CE3" w14:textId="77777777" w:rsidTr="008E0B91">
        <w:tc>
          <w:tcPr>
            <w:tcW w:w="741" w:type="dxa"/>
            <w:vMerge/>
          </w:tcPr>
          <w:p w14:paraId="4E72A0AA" w14:textId="77777777" w:rsidR="009E61DE" w:rsidRPr="00E14C2B" w:rsidRDefault="009E61DE" w:rsidP="000C5E3E">
            <w:pPr>
              <w:spacing w:before="60" w:after="60"/>
              <w:jc w:val="center"/>
              <w:rPr>
                <w:rFonts w:ascii="British Council Sans" w:hAnsi="British Council Sans"/>
                <w:b/>
                <w:bCs/>
                <w:sz w:val="22"/>
                <w:szCs w:val="22"/>
              </w:rPr>
            </w:pPr>
          </w:p>
        </w:tc>
        <w:tc>
          <w:tcPr>
            <w:tcW w:w="8615" w:type="dxa"/>
            <w:tcBorders>
              <w:top w:val="dashed" w:sz="4" w:space="0" w:color="auto"/>
            </w:tcBorders>
          </w:tcPr>
          <w:p w14:paraId="1E8A667D" w14:textId="77777777" w:rsidR="009E61DE" w:rsidRPr="00E14C2B" w:rsidRDefault="009E61DE" w:rsidP="00CB0EA0">
            <w:pPr>
              <w:pStyle w:val="ListParagraph"/>
              <w:numPr>
                <w:ilvl w:val="0"/>
                <w:numId w:val="10"/>
              </w:numPr>
              <w:ind w:left="287" w:hanging="287"/>
              <w:rPr>
                <w:rFonts w:ascii="British Council Sans" w:hAnsi="British Council Sans"/>
                <w:sz w:val="22"/>
                <w:szCs w:val="22"/>
              </w:rPr>
            </w:pPr>
            <w:r w:rsidRPr="00E14C2B">
              <w:rPr>
                <w:rFonts w:ascii="British Council Sans" w:hAnsi="British Council Sans"/>
                <w:sz w:val="22"/>
                <w:szCs w:val="22"/>
              </w:rPr>
              <w:t>Can interpret and describe (in Language B) overall trends shown in simple diagrams (</w:t>
            </w:r>
            <w:proofErr w:type="gramStart"/>
            <w:r w:rsidRPr="00E14C2B">
              <w:rPr>
                <w:rFonts w:ascii="British Council Sans" w:hAnsi="British Council Sans"/>
                <w:sz w:val="22"/>
                <w:szCs w:val="22"/>
              </w:rPr>
              <w:t>e.g.</w:t>
            </w:r>
            <w:proofErr w:type="gramEnd"/>
            <w:r w:rsidRPr="00E14C2B">
              <w:rPr>
                <w:rFonts w:ascii="British Council Sans" w:hAnsi="British Council Sans"/>
                <w:sz w:val="22"/>
                <w:szCs w:val="22"/>
              </w:rPr>
              <w:t xml:space="preserve"> graphs, bar charts) (with text in Language A), even though lexical limitations cause difficulty with formulation at times.</w:t>
            </w:r>
          </w:p>
        </w:tc>
      </w:tr>
      <w:tr w:rsidR="009E61DE" w:rsidRPr="00E14C2B" w14:paraId="538C0408" w14:textId="77777777" w:rsidTr="008E0B91">
        <w:tc>
          <w:tcPr>
            <w:tcW w:w="741" w:type="dxa"/>
          </w:tcPr>
          <w:p w14:paraId="61E5E223" w14:textId="3C729804" w:rsidR="009E61DE" w:rsidRPr="00E14C2B" w:rsidRDefault="009E61DE" w:rsidP="000C5E3E">
            <w:pPr>
              <w:spacing w:before="60" w:after="60"/>
              <w:jc w:val="center"/>
              <w:rPr>
                <w:rFonts w:ascii="British Council Sans" w:hAnsi="British Council Sans"/>
                <w:b/>
                <w:bCs/>
                <w:sz w:val="22"/>
                <w:szCs w:val="22"/>
              </w:rPr>
            </w:pPr>
            <w:r w:rsidRPr="00E14C2B">
              <w:rPr>
                <w:rFonts w:ascii="British Council Sans" w:hAnsi="British Council Sans"/>
                <w:b/>
                <w:bCs/>
                <w:sz w:val="22"/>
                <w:szCs w:val="22"/>
              </w:rPr>
              <w:t xml:space="preserve">A1 </w:t>
            </w:r>
          </w:p>
        </w:tc>
        <w:tc>
          <w:tcPr>
            <w:tcW w:w="8615" w:type="dxa"/>
          </w:tcPr>
          <w:p w14:paraId="4B21321B" w14:textId="77777777" w:rsidR="009E61DE" w:rsidRPr="00E14C2B" w:rsidRDefault="009E61DE" w:rsidP="00CB0EA0">
            <w:pPr>
              <w:pStyle w:val="ListParagraph"/>
              <w:numPr>
                <w:ilvl w:val="0"/>
                <w:numId w:val="10"/>
              </w:numPr>
              <w:ind w:left="287" w:hanging="287"/>
              <w:rPr>
                <w:rFonts w:ascii="British Council Sans" w:hAnsi="British Council Sans"/>
                <w:sz w:val="22"/>
                <w:szCs w:val="22"/>
              </w:rPr>
            </w:pPr>
            <w:r w:rsidRPr="00E14C2B">
              <w:rPr>
                <w:rFonts w:ascii="British Council Sans" w:hAnsi="British Council Sans"/>
                <w:sz w:val="22"/>
                <w:szCs w:val="22"/>
              </w:rPr>
              <w:t>No descriptors available.</w:t>
            </w:r>
          </w:p>
        </w:tc>
      </w:tr>
      <w:tr w:rsidR="009E61DE" w:rsidRPr="00E14C2B" w14:paraId="12C0AA6B" w14:textId="77777777" w:rsidTr="008E0B91">
        <w:tc>
          <w:tcPr>
            <w:tcW w:w="741" w:type="dxa"/>
          </w:tcPr>
          <w:p w14:paraId="3D839906" w14:textId="152384F4" w:rsidR="009E61DE" w:rsidRPr="00E14C2B" w:rsidRDefault="009E61DE" w:rsidP="000C5E3E">
            <w:pPr>
              <w:spacing w:before="60" w:after="60"/>
              <w:jc w:val="center"/>
              <w:rPr>
                <w:rFonts w:ascii="British Council Sans" w:hAnsi="British Council Sans"/>
                <w:b/>
                <w:bCs/>
                <w:color w:val="B25EFF" w:themeColor="accent1"/>
                <w:sz w:val="22"/>
                <w:szCs w:val="22"/>
              </w:rPr>
            </w:pPr>
          </w:p>
        </w:tc>
        <w:tc>
          <w:tcPr>
            <w:tcW w:w="8615" w:type="dxa"/>
          </w:tcPr>
          <w:p w14:paraId="7C924727" w14:textId="77777777" w:rsidR="009E61DE" w:rsidRPr="00E14C2B" w:rsidRDefault="009E61DE" w:rsidP="00CB0EA0">
            <w:pPr>
              <w:pStyle w:val="ListParagraph"/>
              <w:numPr>
                <w:ilvl w:val="0"/>
                <w:numId w:val="10"/>
              </w:numPr>
              <w:ind w:left="287" w:hanging="287"/>
              <w:rPr>
                <w:rFonts w:ascii="British Council Sans" w:hAnsi="British Council Sans"/>
                <w:sz w:val="22"/>
                <w:szCs w:val="22"/>
              </w:rPr>
            </w:pPr>
            <w:r w:rsidRPr="00E14C2B">
              <w:rPr>
                <w:rFonts w:ascii="British Council Sans" w:hAnsi="British Council Sans"/>
                <w:sz w:val="22"/>
                <w:szCs w:val="22"/>
              </w:rPr>
              <w:t>Can interpret and describe clearly and reliably (in Language B) the salient points and details contained in complex diagrams and other visually organised information (with text in Language A) on complex academic or professional topics.</w:t>
            </w:r>
          </w:p>
        </w:tc>
      </w:tr>
      <w:tr w:rsidR="009E61DE" w:rsidRPr="00E14C2B" w14:paraId="732B8167" w14:textId="77777777" w:rsidTr="008E0B91">
        <w:tc>
          <w:tcPr>
            <w:tcW w:w="741" w:type="dxa"/>
          </w:tcPr>
          <w:p w14:paraId="0456791B" w14:textId="5B89B44F" w:rsidR="009E61DE" w:rsidRPr="00E14C2B" w:rsidRDefault="009E61DE" w:rsidP="000C5E3E">
            <w:pPr>
              <w:spacing w:before="60" w:after="60"/>
              <w:jc w:val="center"/>
              <w:rPr>
                <w:rFonts w:ascii="British Council Sans" w:hAnsi="British Council Sans"/>
                <w:b/>
                <w:bCs/>
                <w:sz w:val="22"/>
                <w:szCs w:val="22"/>
              </w:rPr>
            </w:pPr>
            <w:r w:rsidRPr="00E14C2B">
              <w:rPr>
                <w:rFonts w:ascii="British Council Sans" w:hAnsi="British Council Sans"/>
                <w:b/>
                <w:bCs/>
                <w:sz w:val="22"/>
                <w:szCs w:val="22"/>
              </w:rPr>
              <w:t>Pre-A1</w:t>
            </w:r>
          </w:p>
        </w:tc>
        <w:tc>
          <w:tcPr>
            <w:tcW w:w="8615" w:type="dxa"/>
          </w:tcPr>
          <w:p w14:paraId="0470B710" w14:textId="77777777" w:rsidR="009E61DE" w:rsidRPr="00E14C2B" w:rsidRDefault="009E61DE" w:rsidP="00CB0EA0">
            <w:pPr>
              <w:pStyle w:val="ListParagraph"/>
              <w:numPr>
                <w:ilvl w:val="0"/>
                <w:numId w:val="10"/>
              </w:numPr>
              <w:ind w:left="287" w:hanging="287"/>
              <w:rPr>
                <w:rFonts w:ascii="British Council Sans" w:hAnsi="British Council Sans"/>
                <w:sz w:val="22"/>
                <w:szCs w:val="22"/>
              </w:rPr>
            </w:pPr>
            <w:r w:rsidRPr="00E14C2B">
              <w:rPr>
                <w:rFonts w:ascii="British Council Sans" w:hAnsi="British Council Sans"/>
                <w:sz w:val="22"/>
                <w:szCs w:val="22"/>
              </w:rPr>
              <w:t>No descriptors available.</w:t>
            </w:r>
          </w:p>
        </w:tc>
      </w:tr>
      <w:tr w:rsidR="009E61DE" w:rsidRPr="00E14C2B" w14:paraId="13C5BDB1" w14:textId="77777777" w:rsidTr="008E0B91">
        <w:tc>
          <w:tcPr>
            <w:tcW w:w="741" w:type="dxa"/>
            <w:vMerge w:val="restart"/>
          </w:tcPr>
          <w:p w14:paraId="4DEB0701" w14:textId="77777777" w:rsidR="009E61DE" w:rsidRPr="00E14C2B" w:rsidRDefault="009E61DE" w:rsidP="000C5E3E">
            <w:pPr>
              <w:spacing w:before="60" w:after="60"/>
              <w:jc w:val="center"/>
              <w:rPr>
                <w:rFonts w:ascii="British Council Sans" w:hAnsi="British Council Sans"/>
                <w:b/>
                <w:bCs/>
                <w:sz w:val="22"/>
                <w:szCs w:val="22"/>
              </w:rPr>
            </w:pPr>
            <w:r w:rsidRPr="00E14C2B">
              <w:rPr>
                <w:rFonts w:ascii="British Council Sans" w:hAnsi="British Council Sans"/>
                <w:b/>
                <w:bCs/>
                <w:sz w:val="22"/>
                <w:szCs w:val="22"/>
              </w:rPr>
              <w:t>A2</w:t>
            </w:r>
          </w:p>
          <w:p w14:paraId="67104D25" w14:textId="722BF642" w:rsidR="009E61DE" w:rsidRPr="00E14C2B" w:rsidRDefault="009E61DE" w:rsidP="000C5E3E">
            <w:pPr>
              <w:spacing w:before="60" w:after="60"/>
              <w:jc w:val="center"/>
              <w:rPr>
                <w:rFonts w:ascii="British Council Sans" w:hAnsi="British Council Sans"/>
                <w:b/>
                <w:bCs/>
                <w:sz w:val="22"/>
                <w:szCs w:val="22"/>
              </w:rPr>
            </w:pPr>
          </w:p>
        </w:tc>
        <w:tc>
          <w:tcPr>
            <w:tcW w:w="8615" w:type="dxa"/>
            <w:tcBorders>
              <w:bottom w:val="dashed" w:sz="4" w:space="0" w:color="auto"/>
            </w:tcBorders>
          </w:tcPr>
          <w:p w14:paraId="776C60AD" w14:textId="77777777" w:rsidR="009E61DE" w:rsidRPr="00E14C2B" w:rsidRDefault="009E61DE" w:rsidP="00CB0EA0">
            <w:pPr>
              <w:pStyle w:val="ListParagraph"/>
              <w:numPr>
                <w:ilvl w:val="0"/>
                <w:numId w:val="10"/>
              </w:numPr>
              <w:ind w:left="287" w:hanging="287"/>
              <w:rPr>
                <w:rFonts w:ascii="British Council Sans" w:hAnsi="British Council Sans"/>
                <w:sz w:val="22"/>
                <w:szCs w:val="22"/>
              </w:rPr>
            </w:pPr>
            <w:r w:rsidRPr="00E14C2B">
              <w:rPr>
                <w:rFonts w:ascii="British Council Sans" w:hAnsi="British Council Sans"/>
                <w:sz w:val="22"/>
                <w:szCs w:val="22"/>
              </w:rPr>
              <w:t>Can interpret and describe (in Language B) simple visuals on familiar topics (</w:t>
            </w:r>
            <w:proofErr w:type="gramStart"/>
            <w:r w:rsidRPr="00E14C2B">
              <w:rPr>
                <w:rFonts w:ascii="British Council Sans" w:hAnsi="British Council Sans"/>
                <w:sz w:val="22"/>
                <w:szCs w:val="22"/>
              </w:rPr>
              <w:t>e.g.</w:t>
            </w:r>
            <w:proofErr w:type="gramEnd"/>
            <w:r w:rsidRPr="00E14C2B">
              <w:rPr>
                <w:rFonts w:ascii="British Council Sans" w:hAnsi="British Council Sans"/>
                <w:sz w:val="22"/>
                <w:szCs w:val="22"/>
              </w:rPr>
              <w:t xml:space="preserve"> a weather map, a basic flow chart) (with text in Language A), even though pauses, false starts and reformulation may be very evident.</w:t>
            </w:r>
          </w:p>
        </w:tc>
      </w:tr>
      <w:tr w:rsidR="009E61DE" w:rsidRPr="00E14C2B" w14:paraId="1763FF12" w14:textId="77777777" w:rsidTr="008E0B91">
        <w:tc>
          <w:tcPr>
            <w:tcW w:w="741" w:type="dxa"/>
            <w:vMerge/>
          </w:tcPr>
          <w:p w14:paraId="240AF80F" w14:textId="77777777" w:rsidR="009E61DE" w:rsidRPr="00E14C2B" w:rsidRDefault="009E61DE" w:rsidP="000C5E3E">
            <w:pPr>
              <w:spacing w:before="60" w:after="60"/>
              <w:jc w:val="center"/>
              <w:rPr>
                <w:rFonts w:ascii="British Council Sans" w:hAnsi="British Council Sans"/>
                <w:b/>
                <w:bCs/>
                <w:sz w:val="22"/>
                <w:szCs w:val="22"/>
              </w:rPr>
            </w:pPr>
          </w:p>
        </w:tc>
        <w:tc>
          <w:tcPr>
            <w:tcW w:w="8615" w:type="dxa"/>
            <w:tcBorders>
              <w:top w:val="dashed" w:sz="4" w:space="0" w:color="auto"/>
            </w:tcBorders>
          </w:tcPr>
          <w:p w14:paraId="53DB193C" w14:textId="77777777" w:rsidR="009E61DE" w:rsidRPr="00E14C2B" w:rsidRDefault="009E61DE" w:rsidP="00CB0EA0">
            <w:pPr>
              <w:pStyle w:val="ListParagraph"/>
              <w:numPr>
                <w:ilvl w:val="0"/>
                <w:numId w:val="10"/>
              </w:numPr>
              <w:ind w:left="287" w:hanging="287"/>
              <w:rPr>
                <w:rFonts w:ascii="British Council Sans" w:hAnsi="British Council Sans"/>
                <w:sz w:val="22"/>
                <w:szCs w:val="22"/>
              </w:rPr>
            </w:pPr>
            <w:r w:rsidRPr="00E14C2B">
              <w:rPr>
                <w:rFonts w:ascii="British Council Sans" w:hAnsi="British Council Sans"/>
                <w:sz w:val="22"/>
                <w:szCs w:val="22"/>
              </w:rPr>
              <w:t>No descriptors available.</w:t>
            </w:r>
          </w:p>
        </w:tc>
      </w:tr>
      <w:tr w:rsidR="009E61DE" w:rsidRPr="00E14C2B" w14:paraId="35AE44BD" w14:textId="77777777" w:rsidTr="008E0B91">
        <w:tc>
          <w:tcPr>
            <w:tcW w:w="741" w:type="dxa"/>
          </w:tcPr>
          <w:p w14:paraId="723D1B12" w14:textId="0EB04929" w:rsidR="009E61DE" w:rsidRPr="00E14C2B" w:rsidRDefault="009E61DE" w:rsidP="000C5E3E">
            <w:pPr>
              <w:spacing w:before="60" w:after="60"/>
              <w:jc w:val="center"/>
              <w:rPr>
                <w:rFonts w:ascii="British Council Sans" w:hAnsi="British Council Sans"/>
                <w:b/>
                <w:bCs/>
                <w:color w:val="B25EFF" w:themeColor="accent1"/>
                <w:sz w:val="22"/>
                <w:szCs w:val="22"/>
              </w:rPr>
            </w:pPr>
          </w:p>
        </w:tc>
        <w:tc>
          <w:tcPr>
            <w:tcW w:w="8615" w:type="dxa"/>
            <w:tcBorders>
              <w:bottom w:val="single" w:sz="4" w:space="0" w:color="auto"/>
            </w:tcBorders>
          </w:tcPr>
          <w:p w14:paraId="2D4470F5" w14:textId="77777777" w:rsidR="009E61DE" w:rsidRPr="00E14C2B" w:rsidRDefault="009E61DE" w:rsidP="00CB0EA0">
            <w:pPr>
              <w:pStyle w:val="ListParagraph"/>
              <w:numPr>
                <w:ilvl w:val="0"/>
                <w:numId w:val="10"/>
              </w:numPr>
              <w:ind w:left="287" w:hanging="287"/>
              <w:rPr>
                <w:rFonts w:ascii="British Council Sans" w:hAnsi="British Council Sans"/>
                <w:sz w:val="22"/>
                <w:szCs w:val="22"/>
              </w:rPr>
            </w:pPr>
            <w:r w:rsidRPr="00E14C2B">
              <w:rPr>
                <w:rFonts w:ascii="British Council Sans" w:hAnsi="British Council Sans"/>
                <w:sz w:val="22"/>
                <w:szCs w:val="22"/>
              </w:rPr>
              <w:t>Can interpret and describe clearly and reliably (in Language B) various forms of empirical data and visually organised information (with text in Language A) from conceptually complex research concerning academic or professional topics.</w:t>
            </w:r>
          </w:p>
        </w:tc>
      </w:tr>
      <w:tr w:rsidR="009E61DE" w:rsidRPr="00E14C2B" w14:paraId="42C58A70" w14:textId="77777777" w:rsidTr="008E0B91">
        <w:tc>
          <w:tcPr>
            <w:tcW w:w="741" w:type="dxa"/>
          </w:tcPr>
          <w:p w14:paraId="798FE96A" w14:textId="1BF36D2A" w:rsidR="009E61DE" w:rsidRPr="00E14C2B" w:rsidRDefault="009E61DE" w:rsidP="000C5E3E">
            <w:pPr>
              <w:spacing w:before="60" w:after="60"/>
              <w:jc w:val="center"/>
              <w:rPr>
                <w:rFonts w:ascii="British Council Sans" w:hAnsi="British Council Sans"/>
                <w:b/>
                <w:bCs/>
                <w:color w:val="B25EFF" w:themeColor="accent1"/>
                <w:sz w:val="22"/>
                <w:szCs w:val="22"/>
              </w:rPr>
            </w:pPr>
          </w:p>
        </w:tc>
        <w:tc>
          <w:tcPr>
            <w:tcW w:w="8615" w:type="dxa"/>
            <w:tcBorders>
              <w:top w:val="dashed" w:sz="4" w:space="0" w:color="auto"/>
            </w:tcBorders>
          </w:tcPr>
          <w:p w14:paraId="20FA70C9" w14:textId="77777777" w:rsidR="009E61DE" w:rsidRPr="00E14C2B" w:rsidRDefault="009E61DE" w:rsidP="00CB0EA0">
            <w:pPr>
              <w:pStyle w:val="ListParagraph"/>
              <w:numPr>
                <w:ilvl w:val="0"/>
                <w:numId w:val="10"/>
              </w:numPr>
              <w:ind w:left="287" w:hanging="287"/>
              <w:rPr>
                <w:rFonts w:ascii="British Council Sans" w:hAnsi="British Council Sans"/>
                <w:sz w:val="22"/>
                <w:szCs w:val="22"/>
              </w:rPr>
            </w:pPr>
            <w:r w:rsidRPr="00E14C2B">
              <w:rPr>
                <w:rFonts w:ascii="British Council Sans" w:hAnsi="British Council Sans"/>
                <w:sz w:val="22"/>
                <w:szCs w:val="22"/>
              </w:rPr>
              <w:t xml:space="preserve">Can interpret and describe reliably (in Language B) detailed information contained in complex diagrams, </w:t>
            </w:r>
            <w:proofErr w:type="gramStart"/>
            <w:r w:rsidRPr="00E14C2B">
              <w:rPr>
                <w:rFonts w:ascii="British Council Sans" w:hAnsi="British Council Sans"/>
                <w:sz w:val="22"/>
                <w:szCs w:val="22"/>
              </w:rPr>
              <w:t>charts</w:t>
            </w:r>
            <w:proofErr w:type="gramEnd"/>
            <w:r w:rsidRPr="00E14C2B">
              <w:rPr>
                <w:rFonts w:ascii="British Council Sans" w:hAnsi="British Council Sans"/>
                <w:sz w:val="22"/>
                <w:szCs w:val="22"/>
              </w:rPr>
              <w:t xml:space="preserve"> and other visually organised information (with text in Language A) on topics in their fields of interest.</w:t>
            </w:r>
          </w:p>
        </w:tc>
      </w:tr>
    </w:tbl>
    <w:p w14:paraId="18C36FE2" w14:textId="77777777" w:rsidR="00D46BCE" w:rsidRDefault="00D46BCE" w:rsidP="000C5E3E"/>
    <w:p w14:paraId="28D7D2C4" w14:textId="61FA35FC" w:rsidR="004B720A" w:rsidRDefault="008E0B91" w:rsidP="004B720A">
      <w:pPr>
        <w:pStyle w:val="Heading3"/>
      </w:pPr>
      <w:r>
        <w:br w:type="page"/>
      </w:r>
      <w:r w:rsidR="004B720A">
        <w:lastRenderedPageBreak/>
        <w:t>CEFR Companion Volume: Explaining data scale</w:t>
      </w:r>
    </w:p>
    <w:p w14:paraId="03A33082" w14:textId="77777777" w:rsidR="00E4029A" w:rsidRDefault="00E4029A" w:rsidP="00E4029A">
      <w:pPr>
        <w:spacing w:after="0"/>
        <w:jc w:val="right"/>
      </w:pPr>
    </w:p>
    <w:p w14:paraId="647097B6" w14:textId="422CDBAA" w:rsidR="00E4029A" w:rsidRDefault="00C019BD" w:rsidP="00C019BD">
      <w:pPr>
        <w:spacing w:after="0"/>
        <w:jc w:val="center"/>
      </w:pPr>
      <w:r>
        <w:rPr>
          <w:noProof/>
        </w:rPr>
        <w:drawing>
          <wp:inline distT="0" distB="0" distL="0" distR="0" wp14:anchorId="4DF3F34E" wp14:editId="17618922">
            <wp:extent cx="5829300" cy="6609908"/>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0783" t="24774" r="68881" b="13735"/>
                    <a:stretch/>
                  </pic:blipFill>
                  <pic:spPr bwMode="auto">
                    <a:xfrm>
                      <a:off x="0" y="0"/>
                      <a:ext cx="5853140" cy="6636940"/>
                    </a:xfrm>
                    <a:prstGeom prst="rect">
                      <a:avLst/>
                    </a:prstGeom>
                    <a:ln>
                      <a:noFill/>
                    </a:ln>
                    <a:extLst>
                      <a:ext uri="{53640926-AAD7-44D8-BBD7-CCE9431645EC}">
                        <a14:shadowObscured xmlns:a14="http://schemas.microsoft.com/office/drawing/2010/main"/>
                      </a:ext>
                    </a:extLst>
                  </pic:spPr>
                </pic:pic>
              </a:graphicData>
            </a:graphic>
          </wp:inline>
        </w:drawing>
      </w:r>
    </w:p>
    <w:p w14:paraId="6F5E67E1" w14:textId="77777777" w:rsidR="00E4029A" w:rsidRDefault="00E4029A" w:rsidP="00C019BD">
      <w:pPr>
        <w:spacing w:after="0"/>
      </w:pPr>
    </w:p>
    <w:p w14:paraId="4CB30B53" w14:textId="0AD951EF" w:rsidR="00E4029A" w:rsidRDefault="00E4029A" w:rsidP="00E4029A">
      <w:pPr>
        <w:spacing w:after="0"/>
        <w:jc w:val="right"/>
        <w:rPr>
          <w:rFonts w:asciiTheme="majorHAnsi" w:eastAsiaTheme="majorEastAsia" w:hAnsiTheme="majorHAnsi" w:cstheme="majorBidi"/>
          <w:b/>
          <w:bCs/>
          <w:color w:val="230859" w:themeColor="text2"/>
          <w:sz w:val="28"/>
          <w:szCs w:val="28"/>
        </w:rPr>
      </w:pPr>
      <w:r>
        <w:t>(Council of Europe, 2020, p.</w:t>
      </w:r>
      <w:r w:rsidR="00C019BD">
        <w:t>9</w:t>
      </w:r>
      <w:r>
        <w:t>7)</w:t>
      </w:r>
    </w:p>
    <w:p w14:paraId="52E8EC03" w14:textId="77777777" w:rsidR="00E4029A" w:rsidRPr="00E4029A" w:rsidRDefault="00E4029A" w:rsidP="00E4029A"/>
    <w:p w14:paraId="6D3D7144" w14:textId="7ABD813E" w:rsidR="008E0B91" w:rsidRDefault="008E0B91" w:rsidP="000C5E3E">
      <w:pPr>
        <w:spacing w:after="0"/>
        <w:rPr>
          <w:rFonts w:asciiTheme="majorHAnsi" w:eastAsiaTheme="majorEastAsia" w:hAnsiTheme="majorHAnsi" w:cstheme="majorBidi"/>
          <w:b/>
          <w:bCs/>
          <w:color w:val="230859" w:themeColor="text2"/>
          <w:sz w:val="28"/>
          <w:szCs w:val="28"/>
        </w:rPr>
      </w:pPr>
    </w:p>
    <w:bookmarkEnd w:id="2"/>
    <w:sectPr w:rsidR="008E0B91" w:rsidSect="002E2BC7">
      <w:headerReference w:type="default" r:id="rId10"/>
      <w:footerReference w:type="even" r:id="rId11"/>
      <w:footerReference w:type="default" r:id="rId12"/>
      <w:footerReference w:type="first" r:id="rId13"/>
      <w:pgSz w:w="11906" w:h="16838"/>
      <w:pgMar w:top="993" w:right="1558" w:bottom="993" w:left="1276"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539B2" w14:textId="77777777" w:rsidR="002E2BC7" w:rsidRDefault="002E2BC7" w:rsidP="00501B09">
      <w:r>
        <w:separator/>
      </w:r>
    </w:p>
  </w:endnote>
  <w:endnote w:type="continuationSeparator" w:id="0">
    <w:p w14:paraId="43ABAB43" w14:textId="77777777" w:rsidR="002E2BC7" w:rsidRDefault="002E2BC7" w:rsidP="0050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dy)">
    <w:altName w:val="Arial"/>
    <w:charset w:val="00"/>
    <w:family w:val="roman"/>
    <w:pitch w:val="default"/>
  </w:font>
  <w:font w:name="Times New Roman (Body CS)">
    <w:altName w:val="Times New Roman"/>
    <w:panose1 w:val="00000000000000000000"/>
    <w:charset w:val="00"/>
    <w:family w:val="roman"/>
    <w:notTrueType/>
    <w:pitch w:val="default"/>
  </w:font>
  <w:font w:name="British Council Sans">
    <w:panose1 w:val="020B0504020202020204"/>
    <w:charset w:val="00"/>
    <w:family w:val="swiss"/>
    <w:pitch w:val="variable"/>
    <w:sig w:usb0="800002A7" w:usb1="0000004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9960758"/>
      <w:docPartObj>
        <w:docPartGallery w:val="Page Numbers (Bottom of Page)"/>
        <w:docPartUnique/>
      </w:docPartObj>
    </w:sdtPr>
    <w:sdtEndPr>
      <w:rPr>
        <w:rStyle w:val="PageNumber"/>
      </w:rPr>
    </w:sdtEndPr>
    <w:sdtContent>
      <w:p w14:paraId="7264C78A" w14:textId="77777777" w:rsidR="006A5C14" w:rsidRDefault="006A5C14" w:rsidP="00A64C3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47DD3D" w14:textId="77777777" w:rsidR="005B740E" w:rsidRDefault="005B740E" w:rsidP="006A5C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72590760"/>
      <w:docPartObj>
        <w:docPartGallery w:val="Page Numbers (Bottom of Page)"/>
        <w:docPartUnique/>
      </w:docPartObj>
    </w:sdtPr>
    <w:sdtEndPr>
      <w:rPr>
        <w:rStyle w:val="PageNumber"/>
      </w:rPr>
    </w:sdtEndPr>
    <w:sdtContent>
      <w:p w14:paraId="3470B266" w14:textId="77777777" w:rsidR="006A5C14" w:rsidRDefault="006A5C14" w:rsidP="00A64C3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278CE3E" w14:textId="77777777" w:rsidR="005B740E" w:rsidRDefault="005B740E" w:rsidP="006A5C14">
    <w:pPr>
      <w:pStyle w:val="Footer"/>
      <w:ind w:right="360"/>
    </w:pPr>
    <w:r>
      <w:t>www.britishcouncil.org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0EFB4" w14:textId="77777777" w:rsidR="0090064B" w:rsidRDefault="0090064B">
    <w:pPr>
      <w:pStyle w:val="Footer"/>
    </w:pPr>
    <w:r>
      <w:t>www.britishcouncil.org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D4601" w14:textId="77777777" w:rsidR="002E2BC7" w:rsidRDefault="002E2BC7" w:rsidP="00501B09">
      <w:r>
        <w:separator/>
      </w:r>
    </w:p>
  </w:footnote>
  <w:footnote w:type="continuationSeparator" w:id="0">
    <w:p w14:paraId="17991841" w14:textId="77777777" w:rsidR="002E2BC7" w:rsidRDefault="002E2BC7" w:rsidP="00501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E8E9C" w14:textId="77777777" w:rsidR="0093218F" w:rsidRDefault="00CA1B1F">
    <w:pPr>
      <w:pStyle w:val="Header"/>
    </w:pPr>
    <w:r>
      <w:rPr>
        <w:noProof/>
        <w:lang w:val="en-US"/>
      </w:rPr>
      <w:drawing>
        <wp:inline distT="0" distB="0" distL="0" distR="0" wp14:anchorId="3D864524" wp14:editId="6317510A">
          <wp:extent cx="1612800" cy="453600"/>
          <wp:effectExtent l="0" t="0" r="635" b="3810"/>
          <wp:docPr id="539796971" name="Picture 5397969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2800" cy="453600"/>
                  </a:xfrm>
                  <a:prstGeom prst="rect">
                    <a:avLst/>
                  </a:prstGeom>
                  <a:noFill/>
                  <a:ln>
                    <a:noFill/>
                  </a:ln>
                </pic:spPr>
              </pic:pic>
            </a:graphicData>
          </a:graphic>
        </wp:inline>
      </w:drawing>
    </w:r>
  </w:p>
  <w:p w14:paraId="6311CD36" w14:textId="77777777" w:rsidR="00FB4D37" w:rsidRDefault="00FB4D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F5B6A"/>
    <w:multiLevelType w:val="hybridMultilevel"/>
    <w:tmpl w:val="98D47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0C1227"/>
    <w:multiLevelType w:val="multilevel"/>
    <w:tmpl w:val="B802C88A"/>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02289D"/>
    <w:multiLevelType w:val="hybridMultilevel"/>
    <w:tmpl w:val="A166726A"/>
    <w:lvl w:ilvl="0" w:tplc="BB4A7B04">
      <w:start w:val="1"/>
      <w:numFmt w:val="bullet"/>
      <w:lvlText w:val="•"/>
      <w:lvlJc w:val="left"/>
      <w:pPr>
        <w:tabs>
          <w:tab w:val="num" w:pos="720"/>
        </w:tabs>
        <w:ind w:left="720" w:hanging="360"/>
      </w:pPr>
      <w:rPr>
        <w:rFonts w:ascii="Arial" w:hAnsi="Arial" w:hint="default"/>
      </w:rPr>
    </w:lvl>
    <w:lvl w:ilvl="1" w:tplc="D2DA78E0">
      <w:start w:val="1"/>
      <w:numFmt w:val="bullet"/>
      <w:lvlText w:val="•"/>
      <w:lvlJc w:val="left"/>
      <w:pPr>
        <w:tabs>
          <w:tab w:val="num" w:pos="1440"/>
        </w:tabs>
        <w:ind w:left="1440" w:hanging="360"/>
      </w:pPr>
      <w:rPr>
        <w:rFonts w:ascii="Arial" w:hAnsi="Arial" w:hint="default"/>
      </w:rPr>
    </w:lvl>
    <w:lvl w:ilvl="2" w:tplc="B6067FE4" w:tentative="1">
      <w:start w:val="1"/>
      <w:numFmt w:val="bullet"/>
      <w:lvlText w:val="•"/>
      <w:lvlJc w:val="left"/>
      <w:pPr>
        <w:tabs>
          <w:tab w:val="num" w:pos="2160"/>
        </w:tabs>
        <w:ind w:left="2160" w:hanging="360"/>
      </w:pPr>
      <w:rPr>
        <w:rFonts w:ascii="Arial" w:hAnsi="Arial" w:hint="default"/>
      </w:rPr>
    </w:lvl>
    <w:lvl w:ilvl="3" w:tplc="CE66C3F4" w:tentative="1">
      <w:start w:val="1"/>
      <w:numFmt w:val="bullet"/>
      <w:lvlText w:val="•"/>
      <w:lvlJc w:val="left"/>
      <w:pPr>
        <w:tabs>
          <w:tab w:val="num" w:pos="2880"/>
        </w:tabs>
        <w:ind w:left="2880" w:hanging="360"/>
      </w:pPr>
      <w:rPr>
        <w:rFonts w:ascii="Arial" w:hAnsi="Arial" w:hint="default"/>
      </w:rPr>
    </w:lvl>
    <w:lvl w:ilvl="4" w:tplc="F87E99CC" w:tentative="1">
      <w:start w:val="1"/>
      <w:numFmt w:val="bullet"/>
      <w:lvlText w:val="•"/>
      <w:lvlJc w:val="left"/>
      <w:pPr>
        <w:tabs>
          <w:tab w:val="num" w:pos="3600"/>
        </w:tabs>
        <w:ind w:left="3600" w:hanging="360"/>
      </w:pPr>
      <w:rPr>
        <w:rFonts w:ascii="Arial" w:hAnsi="Arial" w:hint="default"/>
      </w:rPr>
    </w:lvl>
    <w:lvl w:ilvl="5" w:tplc="AF2CC8A8" w:tentative="1">
      <w:start w:val="1"/>
      <w:numFmt w:val="bullet"/>
      <w:lvlText w:val="•"/>
      <w:lvlJc w:val="left"/>
      <w:pPr>
        <w:tabs>
          <w:tab w:val="num" w:pos="4320"/>
        </w:tabs>
        <w:ind w:left="4320" w:hanging="360"/>
      </w:pPr>
      <w:rPr>
        <w:rFonts w:ascii="Arial" w:hAnsi="Arial" w:hint="default"/>
      </w:rPr>
    </w:lvl>
    <w:lvl w:ilvl="6" w:tplc="73EEE990" w:tentative="1">
      <w:start w:val="1"/>
      <w:numFmt w:val="bullet"/>
      <w:lvlText w:val="•"/>
      <w:lvlJc w:val="left"/>
      <w:pPr>
        <w:tabs>
          <w:tab w:val="num" w:pos="5040"/>
        </w:tabs>
        <w:ind w:left="5040" w:hanging="360"/>
      </w:pPr>
      <w:rPr>
        <w:rFonts w:ascii="Arial" w:hAnsi="Arial" w:hint="default"/>
      </w:rPr>
    </w:lvl>
    <w:lvl w:ilvl="7" w:tplc="FF6671F8" w:tentative="1">
      <w:start w:val="1"/>
      <w:numFmt w:val="bullet"/>
      <w:lvlText w:val="•"/>
      <w:lvlJc w:val="left"/>
      <w:pPr>
        <w:tabs>
          <w:tab w:val="num" w:pos="5760"/>
        </w:tabs>
        <w:ind w:left="5760" w:hanging="360"/>
      </w:pPr>
      <w:rPr>
        <w:rFonts w:ascii="Arial" w:hAnsi="Arial" w:hint="default"/>
      </w:rPr>
    </w:lvl>
    <w:lvl w:ilvl="8" w:tplc="A4BC4A7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FCB34C5"/>
    <w:multiLevelType w:val="hybridMultilevel"/>
    <w:tmpl w:val="40E86964"/>
    <w:lvl w:ilvl="0" w:tplc="A3326598">
      <w:start w:val="1"/>
      <w:numFmt w:val="decimal"/>
      <w:lvlText w:val="%1."/>
      <w:lvlJc w:val="left"/>
      <w:pPr>
        <w:tabs>
          <w:tab w:val="num" w:pos="720"/>
        </w:tabs>
        <w:ind w:left="720" w:hanging="360"/>
      </w:pPr>
    </w:lvl>
    <w:lvl w:ilvl="1" w:tplc="EA6A8430" w:tentative="1">
      <w:start w:val="1"/>
      <w:numFmt w:val="decimal"/>
      <w:lvlText w:val="%2."/>
      <w:lvlJc w:val="left"/>
      <w:pPr>
        <w:tabs>
          <w:tab w:val="num" w:pos="1440"/>
        </w:tabs>
        <w:ind w:left="1440" w:hanging="360"/>
      </w:pPr>
    </w:lvl>
    <w:lvl w:ilvl="2" w:tplc="BBF4F672" w:tentative="1">
      <w:start w:val="1"/>
      <w:numFmt w:val="decimal"/>
      <w:lvlText w:val="%3."/>
      <w:lvlJc w:val="left"/>
      <w:pPr>
        <w:tabs>
          <w:tab w:val="num" w:pos="2160"/>
        </w:tabs>
        <w:ind w:left="2160" w:hanging="360"/>
      </w:pPr>
    </w:lvl>
    <w:lvl w:ilvl="3" w:tplc="2806D9E2" w:tentative="1">
      <w:start w:val="1"/>
      <w:numFmt w:val="decimal"/>
      <w:lvlText w:val="%4."/>
      <w:lvlJc w:val="left"/>
      <w:pPr>
        <w:tabs>
          <w:tab w:val="num" w:pos="2880"/>
        </w:tabs>
        <w:ind w:left="2880" w:hanging="360"/>
      </w:pPr>
    </w:lvl>
    <w:lvl w:ilvl="4" w:tplc="3EC0C5B4" w:tentative="1">
      <w:start w:val="1"/>
      <w:numFmt w:val="decimal"/>
      <w:lvlText w:val="%5."/>
      <w:lvlJc w:val="left"/>
      <w:pPr>
        <w:tabs>
          <w:tab w:val="num" w:pos="3600"/>
        </w:tabs>
        <w:ind w:left="3600" w:hanging="360"/>
      </w:pPr>
    </w:lvl>
    <w:lvl w:ilvl="5" w:tplc="253277F8" w:tentative="1">
      <w:start w:val="1"/>
      <w:numFmt w:val="decimal"/>
      <w:lvlText w:val="%6."/>
      <w:lvlJc w:val="left"/>
      <w:pPr>
        <w:tabs>
          <w:tab w:val="num" w:pos="4320"/>
        </w:tabs>
        <w:ind w:left="4320" w:hanging="360"/>
      </w:pPr>
    </w:lvl>
    <w:lvl w:ilvl="6" w:tplc="FEBE7A60" w:tentative="1">
      <w:start w:val="1"/>
      <w:numFmt w:val="decimal"/>
      <w:lvlText w:val="%7."/>
      <w:lvlJc w:val="left"/>
      <w:pPr>
        <w:tabs>
          <w:tab w:val="num" w:pos="5040"/>
        </w:tabs>
        <w:ind w:left="5040" w:hanging="360"/>
      </w:pPr>
    </w:lvl>
    <w:lvl w:ilvl="7" w:tplc="53266A78" w:tentative="1">
      <w:start w:val="1"/>
      <w:numFmt w:val="decimal"/>
      <w:lvlText w:val="%8."/>
      <w:lvlJc w:val="left"/>
      <w:pPr>
        <w:tabs>
          <w:tab w:val="num" w:pos="5760"/>
        </w:tabs>
        <w:ind w:left="5760" w:hanging="360"/>
      </w:pPr>
    </w:lvl>
    <w:lvl w:ilvl="8" w:tplc="0A80362A" w:tentative="1">
      <w:start w:val="1"/>
      <w:numFmt w:val="decimal"/>
      <w:lvlText w:val="%9."/>
      <w:lvlJc w:val="left"/>
      <w:pPr>
        <w:tabs>
          <w:tab w:val="num" w:pos="6480"/>
        </w:tabs>
        <w:ind w:left="6480" w:hanging="360"/>
      </w:pPr>
    </w:lvl>
  </w:abstractNum>
  <w:abstractNum w:abstractNumId="4" w15:restartNumberingAfterBreak="0">
    <w:nsid w:val="4A5B58F4"/>
    <w:multiLevelType w:val="hybridMultilevel"/>
    <w:tmpl w:val="8ACC5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F048B6"/>
    <w:multiLevelType w:val="hybridMultilevel"/>
    <w:tmpl w:val="7A0EE09A"/>
    <w:lvl w:ilvl="0" w:tplc="39B09F9E">
      <w:start w:val="1"/>
      <w:numFmt w:val="decimal"/>
      <w:lvlText w:val="%1."/>
      <w:lvlJc w:val="left"/>
      <w:pPr>
        <w:tabs>
          <w:tab w:val="num" w:pos="720"/>
        </w:tabs>
        <w:ind w:left="720" w:hanging="360"/>
      </w:pPr>
    </w:lvl>
    <w:lvl w:ilvl="1" w:tplc="0B0AFF96" w:tentative="1">
      <w:start w:val="1"/>
      <w:numFmt w:val="decimal"/>
      <w:lvlText w:val="%2."/>
      <w:lvlJc w:val="left"/>
      <w:pPr>
        <w:tabs>
          <w:tab w:val="num" w:pos="1440"/>
        </w:tabs>
        <w:ind w:left="1440" w:hanging="360"/>
      </w:pPr>
    </w:lvl>
    <w:lvl w:ilvl="2" w:tplc="EABCD3C2" w:tentative="1">
      <w:start w:val="1"/>
      <w:numFmt w:val="decimal"/>
      <w:lvlText w:val="%3."/>
      <w:lvlJc w:val="left"/>
      <w:pPr>
        <w:tabs>
          <w:tab w:val="num" w:pos="2160"/>
        </w:tabs>
        <w:ind w:left="2160" w:hanging="360"/>
      </w:pPr>
    </w:lvl>
    <w:lvl w:ilvl="3" w:tplc="6C766B1E" w:tentative="1">
      <w:start w:val="1"/>
      <w:numFmt w:val="decimal"/>
      <w:lvlText w:val="%4."/>
      <w:lvlJc w:val="left"/>
      <w:pPr>
        <w:tabs>
          <w:tab w:val="num" w:pos="2880"/>
        </w:tabs>
        <w:ind w:left="2880" w:hanging="360"/>
      </w:pPr>
    </w:lvl>
    <w:lvl w:ilvl="4" w:tplc="D9C86362">
      <w:start w:val="1"/>
      <w:numFmt w:val="decimal"/>
      <w:lvlText w:val="%5."/>
      <w:lvlJc w:val="left"/>
      <w:pPr>
        <w:tabs>
          <w:tab w:val="num" w:pos="3600"/>
        </w:tabs>
        <w:ind w:left="3600" w:hanging="360"/>
      </w:pPr>
    </w:lvl>
    <w:lvl w:ilvl="5" w:tplc="0C6279E6" w:tentative="1">
      <w:start w:val="1"/>
      <w:numFmt w:val="decimal"/>
      <w:lvlText w:val="%6."/>
      <w:lvlJc w:val="left"/>
      <w:pPr>
        <w:tabs>
          <w:tab w:val="num" w:pos="4320"/>
        </w:tabs>
        <w:ind w:left="4320" w:hanging="360"/>
      </w:pPr>
    </w:lvl>
    <w:lvl w:ilvl="6" w:tplc="F6FA91AE" w:tentative="1">
      <w:start w:val="1"/>
      <w:numFmt w:val="decimal"/>
      <w:lvlText w:val="%7."/>
      <w:lvlJc w:val="left"/>
      <w:pPr>
        <w:tabs>
          <w:tab w:val="num" w:pos="5040"/>
        </w:tabs>
        <w:ind w:left="5040" w:hanging="360"/>
      </w:pPr>
    </w:lvl>
    <w:lvl w:ilvl="7" w:tplc="4F9A3958" w:tentative="1">
      <w:start w:val="1"/>
      <w:numFmt w:val="decimal"/>
      <w:lvlText w:val="%8."/>
      <w:lvlJc w:val="left"/>
      <w:pPr>
        <w:tabs>
          <w:tab w:val="num" w:pos="5760"/>
        </w:tabs>
        <w:ind w:left="5760" w:hanging="360"/>
      </w:pPr>
    </w:lvl>
    <w:lvl w:ilvl="8" w:tplc="5CBCF6F6" w:tentative="1">
      <w:start w:val="1"/>
      <w:numFmt w:val="decimal"/>
      <w:lvlText w:val="%9."/>
      <w:lvlJc w:val="left"/>
      <w:pPr>
        <w:tabs>
          <w:tab w:val="num" w:pos="6480"/>
        </w:tabs>
        <w:ind w:left="6480" w:hanging="360"/>
      </w:pPr>
    </w:lvl>
  </w:abstractNum>
  <w:abstractNum w:abstractNumId="6" w15:restartNumberingAfterBreak="0">
    <w:nsid w:val="53C90776"/>
    <w:multiLevelType w:val="hybridMultilevel"/>
    <w:tmpl w:val="E0CEDF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5461DF"/>
    <w:multiLevelType w:val="hybridMultilevel"/>
    <w:tmpl w:val="9506A4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8839A6"/>
    <w:multiLevelType w:val="hybridMultilevel"/>
    <w:tmpl w:val="788053C6"/>
    <w:lvl w:ilvl="0" w:tplc="6B1A536A">
      <w:start w:val="1"/>
      <w:numFmt w:val="decimal"/>
      <w:pStyle w:val="Numbered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A3391A"/>
    <w:multiLevelType w:val="hybridMultilevel"/>
    <w:tmpl w:val="9506A4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94B2721"/>
    <w:multiLevelType w:val="hybridMultilevel"/>
    <w:tmpl w:val="B6B0FE1C"/>
    <w:lvl w:ilvl="0" w:tplc="E5A0BCBA">
      <w:start w:val="1"/>
      <w:numFmt w:val="bullet"/>
      <w:pStyle w:val="Sub-bullets"/>
      <w:lvlText w:val="–"/>
      <w:lvlJc w:val="left"/>
      <w:pPr>
        <w:ind w:left="927" w:hanging="360"/>
      </w:pPr>
      <w:rPr>
        <w:rFonts w:ascii="Arial" w:hAnsi="Arial" w:hint="default"/>
        <w:color w:val="B25EFF"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43452B"/>
    <w:multiLevelType w:val="multilevel"/>
    <w:tmpl w:val="40D44EA2"/>
    <w:styleLink w:val="CurrentList2"/>
    <w:lvl w:ilvl="0">
      <w:start w:val="1"/>
      <w:numFmt w:val="bullet"/>
      <w:lvlText w:val=""/>
      <w:lvlJc w:val="left"/>
      <w:pPr>
        <w:ind w:left="644" w:hanging="360"/>
      </w:pPr>
      <w:rPr>
        <w:rFonts w:ascii="Symbol" w:hAnsi="Symbol" w:hint="default"/>
        <w:color w:val="B25EFF"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DF74652"/>
    <w:multiLevelType w:val="hybridMultilevel"/>
    <w:tmpl w:val="40D44EA2"/>
    <w:lvl w:ilvl="0" w:tplc="F3360F88">
      <w:start w:val="1"/>
      <w:numFmt w:val="bullet"/>
      <w:pStyle w:val="Bullets"/>
      <w:lvlText w:val=""/>
      <w:lvlJc w:val="left"/>
      <w:pPr>
        <w:ind w:left="644" w:hanging="360"/>
      </w:pPr>
      <w:rPr>
        <w:rFonts w:ascii="Symbol" w:hAnsi="Symbol" w:hint="default"/>
        <w:color w:val="B25EFF"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5545211">
    <w:abstractNumId w:val="8"/>
  </w:num>
  <w:num w:numId="2" w16cid:durableId="1011449515">
    <w:abstractNumId w:val="12"/>
  </w:num>
  <w:num w:numId="3" w16cid:durableId="1775593429">
    <w:abstractNumId w:val="1"/>
  </w:num>
  <w:num w:numId="4" w16cid:durableId="1616710753">
    <w:abstractNumId w:val="11"/>
  </w:num>
  <w:num w:numId="5" w16cid:durableId="1115444538">
    <w:abstractNumId w:val="10"/>
  </w:num>
  <w:num w:numId="6" w16cid:durableId="1254778502">
    <w:abstractNumId w:val="8"/>
    <w:lvlOverride w:ilvl="0">
      <w:startOverride w:val="1"/>
    </w:lvlOverride>
  </w:num>
  <w:num w:numId="7" w16cid:durableId="989671511">
    <w:abstractNumId w:val="8"/>
    <w:lvlOverride w:ilvl="0">
      <w:startOverride w:val="1"/>
    </w:lvlOverride>
  </w:num>
  <w:num w:numId="8" w16cid:durableId="1291395955">
    <w:abstractNumId w:val="8"/>
    <w:lvlOverride w:ilvl="0">
      <w:startOverride w:val="1"/>
    </w:lvlOverride>
  </w:num>
  <w:num w:numId="9" w16cid:durableId="150800284">
    <w:abstractNumId w:val="8"/>
    <w:lvlOverride w:ilvl="0">
      <w:startOverride w:val="1"/>
    </w:lvlOverride>
  </w:num>
  <w:num w:numId="10" w16cid:durableId="956064686">
    <w:abstractNumId w:val="4"/>
  </w:num>
  <w:num w:numId="11" w16cid:durableId="2044861652">
    <w:abstractNumId w:val="7"/>
  </w:num>
  <w:num w:numId="12" w16cid:durableId="1362197078">
    <w:abstractNumId w:val="9"/>
  </w:num>
  <w:num w:numId="13" w16cid:durableId="781728535">
    <w:abstractNumId w:val="2"/>
  </w:num>
  <w:num w:numId="14" w16cid:durableId="1464347357">
    <w:abstractNumId w:val="0"/>
  </w:num>
  <w:num w:numId="15" w16cid:durableId="156775323">
    <w:abstractNumId w:val="6"/>
  </w:num>
  <w:num w:numId="16" w16cid:durableId="751467477">
    <w:abstractNumId w:val="3"/>
  </w:num>
  <w:num w:numId="17" w16cid:durableId="18911842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217"/>
    <w:rsid w:val="0001333D"/>
    <w:rsid w:val="00017213"/>
    <w:rsid w:val="00027735"/>
    <w:rsid w:val="00035BBC"/>
    <w:rsid w:val="000469E2"/>
    <w:rsid w:val="000671E7"/>
    <w:rsid w:val="00067F1C"/>
    <w:rsid w:val="0007457D"/>
    <w:rsid w:val="000779EB"/>
    <w:rsid w:val="0009586F"/>
    <w:rsid w:val="000B6479"/>
    <w:rsid w:val="000C5E3E"/>
    <w:rsid w:val="000E6915"/>
    <w:rsid w:val="000F614B"/>
    <w:rsid w:val="00101A24"/>
    <w:rsid w:val="00104659"/>
    <w:rsid w:val="00123A50"/>
    <w:rsid w:val="001259E5"/>
    <w:rsid w:val="00133198"/>
    <w:rsid w:val="001554B9"/>
    <w:rsid w:val="0015777E"/>
    <w:rsid w:val="00164D7A"/>
    <w:rsid w:val="00172086"/>
    <w:rsid w:val="001836E2"/>
    <w:rsid w:val="0019171B"/>
    <w:rsid w:val="001C08F3"/>
    <w:rsid w:val="001C0D53"/>
    <w:rsid w:val="001E2F7B"/>
    <w:rsid w:val="001F5B62"/>
    <w:rsid w:val="00203DD3"/>
    <w:rsid w:val="00217FF4"/>
    <w:rsid w:val="002210CD"/>
    <w:rsid w:val="00227CE6"/>
    <w:rsid w:val="00235839"/>
    <w:rsid w:val="00245E96"/>
    <w:rsid w:val="002470B5"/>
    <w:rsid w:val="002543FB"/>
    <w:rsid w:val="00261DF8"/>
    <w:rsid w:val="002710F3"/>
    <w:rsid w:val="00271215"/>
    <w:rsid w:val="002955B2"/>
    <w:rsid w:val="002B5443"/>
    <w:rsid w:val="002C1511"/>
    <w:rsid w:val="002D6D4C"/>
    <w:rsid w:val="002E2BC7"/>
    <w:rsid w:val="002E3D97"/>
    <w:rsid w:val="002E69BA"/>
    <w:rsid w:val="002F1CB5"/>
    <w:rsid w:val="0030069C"/>
    <w:rsid w:val="00312661"/>
    <w:rsid w:val="00317061"/>
    <w:rsid w:val="0033750B"/>
    <w:rsid w:val="00343352"/>
    <w:rsid w:val="00351B68"/>
    <w:rsid w:val="00360AF2"/>
    <w:rsid w:val="0036733D"/>
    <w:rsid w:val="00375658"/>
    <w:rsid w:val="00383AFE"/>
    <w:rsid w:val="0038437F"/>
    <w:rsid w:val="00387874"/>
    <w:rsid w:val="00394320"/>
    <w:rsid w:val="003A1E90"/>
    <w:rsid w:val="003C4078"/>
    <w:rsid w:val="003E2EB5"/>
    <w:rsid w:val="003E41DF"/>
    <w:rsid w:val="003F1A67"/>
    <w:rsid w:val="003F7930"/>
    <w:rsid w:val="00405D28"/>
    <w:rsid w:val="0041722E"/>
    <w:rsid w:val="00436649"/>
    <w:rsid w:val="004373EF"/>
    <w:rsid w:val="00440250"/>
    <w:rsid w:val="004500D0"/>
    <w:rsid w:val="00451902"/>
    <w:rsid w:val="00465F00"/>
    <w:rsid w:val="004719FB"/>
    <w:rsid w:val="00473AB0"/>
    <w:rsid w:val="004828E6"/>
    <w:rsid w:val="004854C2"/>
    <w:rsid w:val="00492CDA"/>
    <w:rsid w:val="00496A6B"/>
    <w:rsid w:val="00496AC4"/>
    <w:rsid w:val="004B720A"/>
    <w:rsid w:val="004B7E80"/>
    <w:rsid w:val="004C1126"/>
    <w:rsid w:val="004C6379"/>
    <w:rsid w:val="00501B09"/>
    <w:rsid w:val="005031F7"/>
    <w:rsid w:val="005137CD"/>
    <w:rsid w:val="00514EB6"/>
    <w:rsid w:val="00536F41"/>
    <w:rsid w:val="00544FAB"/>
    <w:rsid w:val="00553817"/>
    <w:rsid w:val="00561609"/>
    <w:rsid w:val="00561949"/>
    <w:rsid w:val="00571086"/>
    <w:rsid w:val="00584276"/>
    <w:rsid w:val="005A1538"/>
    <w:rsid w:val="005B088B"/>
    <w:rsid w:val="005B5846"/>
    <w:rsid w:val="005B740E"/>
    <w:rsid w:val="005C1611"/>
    <w:rsid w:val="005C3CE1"/>
    <w:rsid w:val="005C4D3F"/>
    <w:rsid w:val="005F1F15"/>
    <w:rsid w:val="005F2672"/>
    <w:rsid w:val="005F56F7"/>
    <w:rsid w:val="005F5A16"/>
    <w:rsid w:val="00603294"/>
    <w:rsid w:val="006070BB"/>
    <w:rsid w:val="00622545"/>
    <w:rsid w:val="00626ED6"/>
    <w:rsid w:val="00627638"/>
    <w:rsid w:val="00650C95"/>
    <w:rsid w:val="006605AA"/>
    <w:rsid w:val="0067796C"/>
    <w:rsid w:val="006A0CBC"/>
    <w:rsid w:val="006A5C14"/>
    <w:rsid w:val="006B5865"/>
    <w:rsid w:val="006B6B97"/>
    <w:rsid w:val="006C5606"/>
    <w:rsid w:val="006E03EA"/>
    <w:rsid w:val="006E088E"/>
    <w:rsid w:val="007439B6"/>
    <w:rsid w:val="00746D55"/>
    <w:rsid w:val="0075029B"/>
    <w:rsid w:val="00750C02"/>
    <w:rsid w:val="00753817"/>
    <w:rsid w:val="007542A5"/>
    <w:rsid w:val="00755818"/>
    <w:rsid w:val="00776B7B"/>
    <w:rsid w:val="00783AEF"/>
    <w:rsid w:val="007851AD"/>
    <w:rsid w:val="007A039A"/>
    <w:rsid w:val="007B3268"/>
    <w:rsid w:val="007D4085"/>
    <w:rsid w:val="007E31DD"/>
    <w:rsid w:val="007F5793"/>
    <w:rsid w:val="008054B3"/>
    <w:rsid w:val="00812A54"/>
    <w:rsid w:val="00835CCA"/>
    <w:rsid w:val="00837752"/>
    <w:rsid w:val="008570E7"/>
    <w:rsid w:val="008577DF"/>
    <w:rsid w:val="00862695"/>
    <w:rsid w:val="00866656"/>
    <w:rsid w:val="00876B71"/>
    <w:rsid w:val="00882DAB"/>
    <w:rsid w:val="008A1B3E"/>
    <w:rsid w:val="008B36A3"/>
    <w:rsid w:val="008C2DF7"/>
    <w:rsid w:val="008D1887"/>
    <w:rsid w:val="008E0B91"/>
    <w:rsid w:val="008E7ABF"/>
    <w:rsid w:val="008F0F5E"/>
    <w:rsid w:val="008F346C"/>
    <w:rsid w:val="008F5220"/>
    <w:rsid w:val="0090064B"/>
    <w:rsid w:val="0090785B"/>
    <w:rsid w:val="009156E4"/>
    <w:rsid w:val="00917A33"/>
    <w:rsid w:val="00931784"/>
    <w:rsid w:val="0093218F"/>
    <w:rsid w:val="00932313"/>
    <w:rsid w:val="0093298D"/>
    <w:rsid w:val="00937660"/>
    <w:rsid w:val="0094615A"/>
    <w:rsid w:val="00946EA6"/>
    <w:rsid w:val="009502FB"/>
    <w:rsid w:val="009602AF"/>
    <w:rsid w:val="009702DB"/>
    <w:rsid w:val="009758CD"/>
    <w:rsid w:val="00986A3B"/>
    <w:rsid w:val="00994DF0"/>
    <w:rsid w:val="00994F67"/>
    <w:rsid w:val="00995D2C"/>
    <w:rsid w:val="009D1DFE"/>
    <w:rsid w:val="009D6BDE"/>
    <w:rsid w:val="009E53FC"/>
    <w:rsid w:val="009E5E4F"/>
    <w:rsid w:val="009E61DE"/>
    <w:rsid w:val="009F116A"/>
    <w:rsid w:val="00A03D24"/>
    <w:rsid w:val="00A05DA5"/>
    <w:rsid w:val="00A305E6"/>
    <w:rsid w:val="00A3203B"/>
    <w:rsid w:val="00A33C4B"/>
    <w:rsid w:val="00A44D4E"/>
    <w:rsid w:val="00A57172"/>
    <w:rsid w:val="00A703F7"/>
    <w:rsid w:val="00A739CD"/>
    <w:rsid w:val="00A80D28"/>
    <w:rsid w:val="00A87C07"/>
    <w:rsid w:val="00AA6BA3"/>
    <w:rsid w:val="00AE1DF3"/>
    <w:rsid w:val="00AF4B87"/>
    <w:rsid w:val="00AF5538"/>
    <w:rsid w:val="00B11ADF"/>
    <w:rsid w:val="00B17BD8"/>
    <w:rsid w:val="00B22E43"/>
    <w:rsid w:val="00B323C9"/>
    <w:rsid w:val="00B42BEE"/>
    <w:rsid w:val="00B64839"/>
    <w:rsid w:val="00B72DA9"/>
    <w:rsid w:val="00B976F6"/>
    <w:rsid w:val="00BA17E6"/>
    <w:rsid w:val="00BB1D80"/>
    <w:rsid w:val="00BB29CC"/>
    <w:rsid w:val="00BC1E23"/>
    <w:rsid w:val="00BC222C"/>
    <w:rsid w:val="00BC5886"/>
    <w:rsid w:val="00BC6119"/>
    <w:rsid w:val="00BC7488"/>
    <w:rsid w:val="00BD0707"/>
    <w:rsid w:val="00BE1282"/>
    <w:rsid w:val="00BE215B"/>
    <w:rsid w:val="00BE7523"/>
    <w:rsid w:val="00BF2F51"/>
    <w:rsid w:val="00BF6D6C"/>
    <w:rsid w:val="00C019BD"/>
    <w:rsid w:val="00C06842"/>
    <w:rsid w:val="00C41ED1"/>
    <w:rsid w:val="00C4513E"/>
    <w:rsid w:val="00C458B2"/>
    <w:rsid w:val="00C51943"/>
    <w:rsid w:val="00C6004C"/>
    <w:rsid w:val="00C6138E"/>
    <w:rsid w:val="00C81205"/>
    <w:rsid w:val="00C848E8"/>
    <w:rsid w:val="00CA1B1F"/>
    <w:rsid w:val="00CA771A"/>
    <w:rsid w:val="00CB0EA0"/>
    <w:rsid w:val="00CB0FE8"/>
    <w:rsid w:val="00CB1D29"/>
    <w:rsid w:val="00CC1D31"/>
    <w:rsid w:val="00CD430F"/>
    <w:rsid w:val="00CE1F30"/>
    <w:rsid w:val="00CF43AB"/>
    <w:rsid w:val="00D17F73"/>
    <w:rsid w:val="00D26C7B"/>
    <w:rsid w:val="00D3400D"/>
    <w:rsid w:val="00D43431"/>
    <w:rsid w:val="00D445B4"/>
    <w:rsid w:val="00D46BCE"/>
    <w:rsid w:val="00D6426B"/>
    <w:rsid w:val="00D669D6"/>
    <w:rsid w:val="00D75E99"/>
    <w:rsid w:val="00D93D4B"/>
    <w:rsid w:val="00DA0133"/>
    <w:rsid w:val="00DA0527"/>
    <w:rsid w:val="00DB6CE7"/>
    <w:rsid w:val="00DC6424"/>
    <w:rsid w:val="00DC7217"/>
    <w:rsid w:val="00DD2531"/>
    <w:rsid w:val="00DD364D"/>
    <w:rsid w:val="00DD6A47"/>
    <w:rsid w:val="00DE1CA9"/>
    <w:rsid w:val="00DE61EA"/>
    <w:rsid w:val="00E1079E"/>
    <w:rsid w:val="00E12040"/>
    <w:rsid w:val="00E14C2B"/>
    <w:rsid w:val="00E157C0"/>
    <w:rsid w:val="00E22340"/>
    <w:rsid w:val="00E23019"/>
    <w:rsid w:val="00E26339"/>
    <w:rsid w:val="00E32E55"/>
    <w:rsid w:val="00E4029A"/>
    <w:rsid w:val="00E41E05"/>
    <w:rsid w:val="00E578D0"/>
    <w:rsid w:val="00E77932"/>
    <w:rsid w:val="00EA0946"/>
    <w:rsid w:val="00EA61D8"/>
    <w:rsid w:val="00EA76CC"/>
    <w:rsid w:val="00EB6F1F"/>
    <w:rsid w:val="00EC573A"/>
    <w:rsid w:val="00ED25DC"/>
    <w:rsid w:val="00ED2CFF"/>
    <w:rsid w:val="00EE4C23"/>
    <w:rsid w:val="00EF5DFD"/>
    <w:rsid w:val="00F00E9E"/>
    <w:rsid w:val="00F0765D"/>
    <w:rsid w:val="00F15973"/>
    <w:rsid w:val="00F16D62"/>
    <w:rsid w:val="00F171C9"/>
    <w:rsid w:val="00F253E8"/>
    <w:rsid w:val="00F360B1"/>
    <w:rsid w:val="00F405B6"/>
    <w:rsid w:val="00F52796"/>
    <w:rsid w:val="00F570B7"/>
    <w:rsid w:val="00F92074"/>
    <w:rsid w:val="00FB4D37"/>
    <w:rsid w:val="00FC1E60"/>
    <w:rsid w:val="00FC3A7B"/>
    <w:rsid w:val="00FD38FE"/>
    <w:rsid w:val="00FE0FA0"/>
    <w:rsid w:val="00FE54B2"/>
    <w:rsid w:val="00FE60EE"/>
    <w:rsid w:val="00FF27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7FFC0"/>
  <w15:chartTrackingRefBased/>
  <w15:docId w15:val="{68385D80-BE17-42DF-9C42-3853364B0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B09"/>
    <w:pPr>
      <w:spacing w:after="120"/>
    </w:pPr>
  </w:style>
  <w:style w:type="paragraph" w:styleId="Heading1">
    <w:name w:val="heading 1"/>
    <w:basedOn w:val="Normal"/>
    <w:next w:val="Normal"/>
    <w:link w:val="Heading1Char"/>
    <w:uiPriority w:val="9"/>
    <w:qFormat/>
    <w:rsid w:val="00AF5538"/>
    <w:pPr>
      <w:keepNext/>
      <w:keepLines/>
      <w:spacing w:after="240"/>
      <w:outlineLvl w:val="0"/>
    </w:pPr>
    <w:rPr>
      <w:rFonts w:asciiTheme="majorHAnsi" w:eastAsiaTheme="majorEastAsia" w:hAnsiTheme="majorHAnsi" w:cstheme="majorBidi"/>
      <w:b/>
      <w:bCs/>
      <w:color w:val="230859" w:themeColor="text2"/>
      <w:sz w:val="56"/>
      <w:szCs w:val="56"/>
    </w:rPr>
  </w:style>
  <w:style w:type="paragraph" w:styleId="Heading2">
    <w:name w:val="heading 2"/>
    <w:basedOn w:val="Normal"/>
    <w:next w:val="Normal"/>
    <w:link w:val="Heading2Char"/>
    <w:uiPriority w:val="9"/>
    <w:unhideWhenUsed/>
    <w:qFormat/>
    <w:rsid w:val="001554B9"/>
    <w:pPr>
      <w:keepNext/>
      <w:keepLines/>
      <w:spacing w:before="480" w:after="240"/>
      <w:outlineLvl w:val="1"/>
    </w:pPr>
    <w:rPr>
      <w:rFonts w:asciiTheme="majorHAnsi" w:eastAsiaTheme="majorEastAsia" w:hAnsiTheme="majorHAnsi" w:cstheme="majorBidi"/>
      <w:b/>
      <w:bCs/>
      <w:color w:val="230859" w:themeColor="text2"/>
      <w:sz w:val="44"/>
      <w:szCs w:val="44"/>
    </w:rPr>
  </w:style>
  <w:style w:type="paragraph" w:styleId="Heading3">
    <w:name w:val="heading 3"/>
    <w:basedOn w:val="Normal"/>
    <w:next w:val="Normal"/>
    <w:link w:val="Heading3Char"/>
    <w:uiPriority w:val="9"/>
    <w:unhideWhenUsed/>
    <w:qFormat/>
    <w:rsid w:val="001554B9"/>
    <w:pPr>
      <w:keepNext/>
      <w:keepLines/>
      <w:spacing w:before="480"/>
      <w:outlineLvl w:val="2"/>
    </w:pPr>
    <w:rPr>
      <w:rFonts w:asciiTheme="majorHAnsi" w:eastAsiaTheme="majorEastAsia" w:hAnsiTheme="majorHAnsi" w:cstheme="majorBidi"/>
      <w:b/>
      <w:bCs/>
      <w:color w:val="230859" w:themeColor="text2"/>
      <w:sz w:val="28"/>
      <w:szCs w:val="28"/>
    </w:rPr>
  </w:style>
  <w:style w:type="paragraph" w:styleId="Heading4">
    <w:name w:val="heading 4"/>
    <w:basedOn w:val="Normal"/>
    <w:next w:val="Normal"/>
    <w:link w:val="Heading4Char"/>
    <w:uiPriority w:val="9"/>
    <w:unhideWhenUsed/>
    <w:qFormat/>
    <w:rsid w:val="00837752"/>
    <w:pPr>
      <w:keepNext/>
      <w:keepLines/>
      <w:spacing w:before="40" w:after="0"/>
      <w:outlineLvl w:val="3"/>
    </w:pPr>
    <w:rPr>
      <w:rFonts w:asciiTheme="majorHAnsi" w:eastAsiaTheme="majorEastAsia" w:hAnsiTheme="majorHAnsi" w:cstheme="majorBidi"/>
      <w:i/>
      <w:iCs/>
      <w:color w:val="230859"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Table-Title">
    <w:name w:val="Header Table - Title"/>
    <w:basedOn w:val="NoSpacing"/>
    <w:autoRedefine/>
    <w:qFormat/>
    <w:rsid w:val="00783AEF"/>
    <w:pPr>
      <w:jc w:val="center"/>
    </w:pPr>
    <w:rPr>
      <w:rFonts w:eastAsia="Times New Roman" w:cs="Arial (Body)"/>
      <w:b/>
      <w:bCs/>
      <w:caps/>
      <w:color w:val="230859" w:themeColor="text2"/>
      <w:szCs w:val="21"/>
      <w:lang w:val="en-US"/>
    </w:rPr>
  </w:style>
  <w:style w:type="paragraph" w:styleId="NoSpacing">
    <w:name w:val="No Spacing"/>
    <w:uiPriority w:val="1"/>
    <w:qFormat/>
    <w:rsid w:val="009D6BDE"/>
  </w:style>
  <w:style w:type="paragraph" w:customStyle="1" w:styleId="HeaderTable">
    <w:name w:val="Header Table"/>
    <w:basedOn w:val="NoSpacing"/>
    <w:autoRedefine/>
    <w:qFormat/>
    <w:rsid w:val="009D6BDE"/>
    <w:rPr>
      <w:rFonts w:eastAsia="Times New Roman" w:cs="Arial (Body)"/>
      <w:szCs w:val="21"/>
      <w:lang w:val="en-US"/>
    </w:rPr>
  </w:style>
  <w:style w:type="paragraph" w:styleId="Title">
    <w:name w:val="Title"/>
    <w:basedOn w:val="Normal"/>
    <w:next w:val="Normal"/>
    <w:link w:val="TitleChar"/>
    <w:uiPriority w:val="10"/>
    <w:qFormat/>
    <w:rsid w:val="008A1B3E"/>
    <w:pPr>
      <w:spacing w:before="120" w:after="480"/>
      <w:ind w:right="1134"/>
      <w:contextualSpacing/>
    </w:pPr>
    <w:rPr>
      <w:rFonts w:asciiTheme="majorHAnsi" w:eastAsiaTheme="majorEastAsia" w:hAnsiTheme="majorHAnsi" w:cstheme="majorBidi"/>
      <w:b/>
      <w:bCs/>
      <w:color w:val="230859" w:themeColor="text2"/>
      <w:spacing w:val="-10"/>
      <w:kern w:val="28"/>
      <w:sz w:val="112"/>
      <w:szCs w:val="112"/>
    </w:rPr>
  </w:style>
  <w:style w:type="character" w:customStyle="1" w:styleId="TitleChar">
    <w:name w:val="Title Char"/>
    <w:basedOn w:val="DefaultParagraphFont"/>
    <w:link w:val="Title"/>
    <w:uiPriority w:val="10"/>
    <w:rsid w:val="008A1B3E"/>
    <w:rPr>
      <w:rFonts w:asciiTheme="majorHAnsi" w:eastAsiaTheme="majorEastAsia" w:hAnsiTheme="majorHAnsi" w:cstheme="majorBidi"/>
      <w:b/>
      <w:bCs/>
      <w:color w:val="230859" w:themeColor="text2"/>
      <w:spacing w:val="-10"/>
      <w:kern w:val="28"/>
      <w:sz w:val="112"/>
      <w:szCs w:val="112"/>
    </w:rPr>
  </w:style>
  <w:style w:type="character" w:customStyle="1" w:styleId="Heading1Char">
    <w:name w:val="Heading 1 Char"/>
    <w:basedOn w:val="DefaultParagraphFont"/>
    <w:link w:val="Heading1"/>
    <w:uiPriority w:val="9"/>
    <w:rsid w:val="00AF5538"/>
    <w:rPr>
      <w:rFonts w:asciiTheme="majorHAnsi" w:eastAsiaTheme="majorEastAsia" w:hAnsiTheme="majorHAnsi" w:cstheme="majorBidi"/>
      <w:b/>
      <w:bCs/>
      <w:color w:val="230859" w:themeColor="text2"/>
      <w:sz w:val="56"/>
      <w:szCs w:val="56"/>
    </w:rPr>
  </w:style>
  <w:style w:type="character" w:customStyle="1" w:styleId="Heading2Char">
    <w:name w:val="Heading 2 Char"/>
    <w:basedOn w:val="DefaultParagraphFont"/>
    <w:link w:val="Heading2"/>
    <w:uiPriority w:val="9"/>
    <w:rsid w:val="001554B9"/>
    <w:rPr>
      <w:rFonts w:asciiTheme="majorHAnsi" w:eastAsiaTheme="majorEastAsia" w:hAnsiTheme="majorHAnsi" w:cstheme="majorBidi"/>
      <w:b/>
      <w:bCs/>
      <w:color w:val="230859" w:themeColor="text2"/>
      <w:sz w:val="44"/>
      <w:szCs w:val="44"/>
    </w:rPr>
  </w:style>
  <w:style w:type="character" w:customStyle="1" w:styleId="Heading3Char">
    <w:name w:val="Heading 3 Char"/>
    <w:basedOn w:val="DefaultParagraphFont"/>
    <w:link w:val="Heading3"/>
    <w:uiPriority w:val="9"/>
    <w:rsid w:val="001554B9"/>
    <w:rPr>
      <w:rFonts w:asciiTheme="majorHAnsi" w:eastAsiaTheme="majorEastAsia" w:hAnsiTheme="majorHAnsi" w:cstheme="majorBidi"/>
      <w:b/>
      <w:bCs/>
      <w:color w:val="230859" w:themeColor="text2"/>
      <w:sz w:val="28"/>
      <w:szCs w:val="28"/>
    </w:rPr>
  </w:style>
  <w:style w:type="paragraph" w:styleId="Header">
    <w:name w:val="header"/>
    <w:basedOn w:val="Normal"/>
    <w:link w:val="HeaderChar"/>
    <w:uiPriority w:val="99"/>
    <w:unhideWhenUsed/>
    <w:rsid w:val="00383AFE"/>
    <w:pPr>
      <w:tabs>
        <w:tab w:val="center" w:pos="4513"/>
        <w:tab w:val="right" w:pos="9026"/>
      </w:tabs>
    </w:pPr>
  </w:style>
  <w:style w:type="character" w:customStyle="1" w:styleId="HeaderChar">
    <w:name w:val="Header Char"/>
    <w:basedOn w:val="DefaultParagraphFont"/>
    <w:link w:val="Header"/>
    <w:uiPriority w:val="99"/>
    <w:rsid w:val="00383AFE"/>
  </w:style>
  <w:style w:type="paragraph" w:styleId="Footer">
    <w:name w:val="footer"/>
    <w:basedOn w:val="Normal"/>
    <w:link w:val="FooterChar"/>
    <w:uiPriority w:val="99"/>
    <w:unhideWhenUsed/>
    <w:rsid w:val="00383AFE"/>
    <w:pPr>
      <w:tabs>
        <w:tab w:val="center" w:pos="4513"/>
        <w:tab w:val="right" w:pos="9026"/>
      </w:tabs>
    </w:pPr>
  </w:style>
  <w:style w:type="character" w:customStyle="1" w:styleId="FooterChar">
    <w:name w:val="Footer Char"/>
    <w:basedOn w:val="DefaultParagraphFont"/>
    <w:link w:val="Footer"/>
    <w:uiPriority w:val="99"/>
    <w:rsid w:val="00383AFE"/>
  </w:style>
  <w:style w:type="paragraph" w:styleId="ListParagraph">
    <w:name w:val="List Paragraph"/>
    <w:basedOn w:val="Normal"/>
    <w:uiPriority w:val="34"/>
    <w:qFormat/>
    <w:rsid w:val="00501B09"/>
    <w:pPr>
      <w:ind w:left="720"/>
      <w:contextualSpacing/>
    </w:pPr>
  </w:style>
  <w:style w:type="paragraph" w:customStyle="1" w:styleId="Quotation">
    <w:name w:val="Quotation"/>
    <w:basedOn w:val="Normal"/>
    <w:next w:val="Normal"/>
    <w:qFormat/>
    <w:rsid w:val="007D4085"/>
    <w:pPr>
      <w:ind w:left="851" w:right="851"/>
    </w:pPr>
    <w:rPr>
      <w:color w:val="230859" w:themeColor="text2"/>
    </w:rPr>
  </w:style>
  <w:style w:type="paragraph" w:customStyle="1" w:styleId="NumberedList">
    <w:name w:val="Numbered List"/>
    <w:basedOn w:val="ListParagraph"/>
    <w:qFormat/>
    <w:rsid w:val="00C848E8"/>
    <w:pPr>
      <w:numPr>
        <w:numId w:val="1"/>
      </w:numPr>
      <w:contextualSpacing w:val="0"/>
    </w:pPr>
  </w:style>
  <w:style w:type="paragraph" w:customStyle="1" w:styleId="Bullets">
    <w:name w:val="Bullets"/>
    <w:basedOn w:val="ListParagraph"/>
    <w:qFormat/>
    <w:rsid w:val="00C848E8"/>
    <w:pPr>
      <w:numPr>
        <w:numId w:val="2"/>
      </w:numPr>
      <w:ind w:left="568" w:hanging="284"/>
      <w:contextualSpacing w:val="0"/>
    </w:pPr>
  </w:style>
  <w:style w:type="paragraph" w:customStyle="1" w:styleId="Sub-bullets">
    <w:name w:val="Sub-bullets"/>
    <w:basedOn w:val="Bullets"/>
    <w:qFormat/>
    <w:rsid w:val="00C848E8"/>
    <w:pPr>
      <w:numPr>
        <w:numId w:val="5"/>
      </w:numPr>
      <w:ind w:left="851" w:hanging="284"/>
    </w:pPr>
  </w:style>
  <w:style w:type="numbering" w:customStyle="1" w:styleId="CurrentList1">
    <w:name w:val="Current List1"/>
    <w:uiPriority w:val="99"/>
    <w:rsid w:val="007E31DD"/>
    <w:pPr>
      <w:numPr>
        <w:numId w:val="3"/>
      </w:numPr>
    </w:pPr>
  </w:style>
  <w:style w:type="table" w:styleId="TableGrid">
    <w:name w:val="Table Grid"/>
    <w:basedOn w:val="TableNormal"/>
    <w:uiPriority w:val="39"/>
    <w:rsid w:val="00F52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2">
    <w:name w:val="Current List2"/>
    <w:uiPriority w:val="99"/>
    <w:rsid w:val="00C848E8"/>
    <w:pPr>
      <w:numPr>
        <w:numId w:val="4"/>
      </w:numPr>
    </w:pPr>
  </w:style>
  <w:style w:type="table" w:styleId="GridTable1Light-Accent1">
    <w:name w:val="Grid Table 1 Light Accent 1"/>
    <w:basedOn w:val="TableNormal"/>
    <w:uiPriority w:val="46"/>
    <w:rsid w:val="00F52796"/>
    <w:tblPr>
      <w:tblStyleRowBandSize w:val="1"/>
      <w:tblStyleColBandSize w:val="1"/>
      <w:tblBorders>
        <w:top w:val="single" w:sz="4" w:space="0" w:color="E0BEFF" w:themeColor="accent1" w:themeTint="66"/>
        <w:left w:val="single" w:sz="4" w:space="0" w:color="E0BEFF" w:themeColor="accent1" w:themeTint="66"/>
        <w:bottom w:val="single" w:sz="4" w:space="0" w:color="E0BEFF" w:themeColor="accent1" w:themeTint="66"/>
        <w:right w:val="single" w:sz="4" w:space="0" w:color="E0BEFF" w:themeColor="accent1" w:themeTint="66"/>
        <w:insideH w:val="single" w:sz="4" w:space="0" w:color="E0BEFF" w:themeColor="accent1" w:themeTint="66"/>
        <w:insideV w:val="single" w:sz="4" w:space="0" w:color="E0BEFF" w:themeColor="accent1" w:themeTint="66"/>
      </w:tblBorders>
    </w:tblPr>
    <w:tblStylePr w:type="firstRow">
      <w:rPr>
        <w:b/>
        <w:bCs/>
      </w:rPr>
      <w:tblPr/>
      <w:tcPr>
        <w:tcBorders>
          <w:bottom w:val="single" w:sz="12" w:space="0" w:color="D09EFF" w:themeColor="accent1" w:themeTint="99"/>
        </w:tcBorders>
      </w:tcPr>
    </w:tblStylePr>
    <w:tblStylePr w:type="lastRow">
      <w:rPr>
        <w:b/>
        <w:bCs/>
      </w:rPr>
      <w:tblPr/>
      <w:tcPr>
        <w:tcBorders>
          <w:top w:val="double" w:sz="2" w:space="0" w:color="D09EFF" w:themeColor="accent1" w:themeTint="99"/>
        </w:tcBorders>
      </w:tcPr>
    </w:tblStylePr>
    <w:tblStylePr w:type="firstCol">
      <w:rPr>
        <w:b/>
        <w:bCs/>
      </w:rPr>
    </w:tblStylePr>
    <w:tblStylePr w:type="lastCol">
      <w:rPr>
        <w:b/>
        <w:bCs/>
      </w:rPr>
    </w:tblStylePr>
  </w:style>
  <w:style w:type="character" w:styleId="PageNumber">
    <w:name w:val="page number"/>
    <w:basedOn w:val="DefaultParagraphFont"/>
    <w:uiPriority w:val="99"/>
    <w:semiHidden/>
    <w:unhideWhenUsed/>
    <w:rsid w:val="006A5C14"/>
  </w:style>
  <w:style w:type="paragraph" w:styleId="Subtitle">
    <w:name w:val="Subtitle"/>
    <w:basedOn w:val="Normal"/>
    <w:next w:val="Normal"/>
    <w:link w:val="SubtitleChar"/>
    <w:uiPriority w:val="11"/>
    <w:qFormat/>
    <w:rsid w:val="001C08F3"/>
    <w:pPr>
      <w:framePr w:hSpace="180" w:wrap="around" w:vAnchor="text" w:hAnchor="text" w:y="1800"/>
      <w:numPr>
        <w:ilvl w:val="1"/>
      </w:numPr>
      <w:spacing w:after="0"/>
    </w:pPr>
    <w:rPr>
      <w:rFonts w:eastAsiaTheme="minorEastAsia" w:cs="Times New Roman (Body CS)"/>
      <w:color w:val="FFFFFF" w:themeColor="background1"/>
      <w:sz w:val="42"/>
      <w:szCs w:val="42"/>
    </w:rPr>
  </w:style>
  <w:style w:type="character" w:customStyle="1" w:styleId="SubtitleChar">
    <w:name w:val="Subtitle Char"/>
    <w:basedOn w:val="DefaultParagraphFont"/>
    <w:link w:val="Subtitle"/>
    <w:uiPriority w:val="11"/>
    <w:rsid w:val="001C08F3"/>
    <w:rPr>
      <w:rFonts w:eastAsiaTheme="minorEastAsia" w:cs="Times New Roman (Body CS)"/>
      <w:color w:val="FFFFFF" w:themeColor="background1"/>
      <w:sz w:val="42"/>
      <w:szCs w:val="42"/>
    </w:rPr>
  </w:style>
  <w:style w:type="table" w:styleId="TableGridLight">
    <w:name w:val="Grid Table Light"/>
    <w:basedOn w:val="TableNormal"/>
    <w:uiPriority w:val="40"/>
    <w:rsid w:val="00BB1D8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ogramme">
    <w:name w:val="Programme"/>
    <w:aliases w:val="department or subject"/>
    <w:qFormat/>
    <w:rsid w:val="008A1B3E"/>
    <w:pPr>
      <w:ind w:right="1134"/>
    </w:pPr>
    <w:rPr>
      <w:rFonts w:asciiTheme="majorHAnsi" w:eastAsiaTheme="majorEastAsia" w:hAnsiTheme="majorHAnsi" w:cstheme="majorBidi"/>
      <w:b/>
      <w:bCs/>
      <w:color w:val="230859" w:themeColor="text2"/>
      <w:sz w:val="56"/>
      <w:szCs w:val="56"/>
    </w:rPr>
  </w:style>
  <w:style w:type="character" w:styleId="Hyperlink">
    <w:name w:val="Hyperlink"/>
    <w:basedOn w:val="DefaultParagraphFont"/>
    <w:uiPriority w:val="99"/>
    <w:unhideWhenUsed/>
    <w:rsid w:val="00C06842"/>
    <w:rPr>
      <w:color w:val="3344DD" w:themeColor="hyperlink"/>
      <w:u w:val="single"/>
    </w:rPr>
  </w:style>
  <w:style w:type="character" w:styleId="UnresolvedMention">
    <w:name w:val="Unresolved Mention"/>
    <w:basedOn w:val="DefaultParagraphFont"/>
    <w:uiPriority w:val="99"/>
    <w:semiHidden/>
    <w:unhideWhenUsed/>
    <w:rsid w:val="00C06842"/>
    <w:rPr>
      <w:color w:val="605E5C"/>
      <w:shd w:val="clear" w:color="auto" w:fill="E1DFDD"/>
    </w:rPr>
  </w:style>
  <w:style w:type="character" w:styleId="FollowedHyperlink">
    <w:name w:val="FollowedHyperlink"/>
    <w:basedOn w:val="DefaultParagraphFont"/>
    <w:uiPriority w:val="99"/>
    <w:semiHidden/>
    <w:unhideWhenUsed/>
    <w:rsid w:val="00C06842"/>
    <w:rPr>
      <w:color w:val="7716BD" w:themeColor="followedHyperlink"/>
      <w:u w:val="single"/>
    </w:rPr>
  </w:style>
  <w:style w:type="paragraph" w:customStyle="1" w:styleId="Normal-LineSpacing15">
    <w:name w:val="Normal - Line Spacing 1.5"/>
    <w:basedOn w:val="Normal"/>
    <w:qFormat/>
    <w:rsid w:val="00603294"/>
    <w:pPr>
      <w:spacing w:line="360" w:lineRule="auto"/>
    </w:pPr>
  </w:style>
  <w:style w:type="character" w:customStyle="1" w:styleId="Heading4Char">
    <w:name w:val="Heading 4 Char"/>
    <w:basedOn w:val="DefaultParagraphFont"/>
    <w:link w:val="Heading4"/>
    <w:uiPriority w:val="9"/>
    <w:rsid w:val="00837752"/>
    <w:rPr>
      <w:rFonts w:asciiTheme="majorHAnsi" w:eastAsiaTheme="majorEastAsia" w:hAnsiTheme="majorHAnsi" w:cstheme="majorBidi"/>
      <w:i/>
      <w:iCs/>
      <w:color w:val="230859" w:themeColor="text2"/>
    </w:rPr>
  </w:style>
  <w:style w:type="paragraph" w:styleId="TOC1">
    <w:name w:val="toc 1"/>
    <w:basedOn w:val="Normal"/>
    <w:next w:val="Normal"/>
    <w:autoRedefine/>
    <w:uiPriority w:val="39"/>
    <w:unhideWhenUsed/>
    <w:rsid w:val="0094615A"/>
    <w:pPr>
      <w:spacing w:before="240"/>
    </w:pPr>
    <w:rPr>
      <w:rFonts w:cstheme="minorHAnsi"/>
      <w:b/>
      <w:bCs/>
      <w:szCs w:val="20"/>
    </w:rPr>
  </w:style>
  <w:style w:type="paragraph" w:styleId="TOC2">
    <w:name w:val="toc 2"/>
    <w:basedOn w:val="Normal"/>
    <w:next w:val="Normal"/>
    <w:autoRedefine/>
    <w:uiPriority w:val="39"/>
    <w:unhideWhenUsed/>
    <w:rsid w:val="0094615A"/>
    <w:pPr>
      <w:spacing w:before="120" w:after="0"/>
      <w:ind w:left="240"/>
    </w:pPr>
    <w:rPr>
      <w:rFonts w:cstheme="minorHAnsi"/>
      <w:iCs/>
      <w:szCs w:val="20"/>
    </w:rPr>
  </w:style>
  <w:style w:type="paragraph" w:styleId="TOC3">
    <w:name w:val="toc 3"/>
    <w:basedOn w:val="Normal"/>
    <w:next w:val="Normal"/>
    <w:autoRedefine/>
    <w:uiPriority w:val="39"/>
    <w:unhideWhenUsed/>
    <w:rsid w:val="0094615A"/>
    <w:pPr>
      <w:spacing w:after="0"/>
      <w:ind w:left="480"/>
    </w:pPr>
    <w:rPr>
      <w:rFonts w:cstheme="minorHAnsi"/>
      <w:szCs w:val="20"/>
    </w:rPr>
  </w:style>
  <w:style w:type="paragraph" w:styleId="TOC4">
    <w:name w:val="toc 4"/>
    <w:basedOn w:val="Normal"/>
    <w:next w:val="Normal"/>
    <w:autoRedefine/>
    <w:uiPriority w:val="39"/>
    <w:unhideWhenUsed/>
    <w:rsid w:val="0094615A"/>
    <w:pPr>
      <w:spacing w:after="0"/>
      <w:ind w:left="720"/>
    </w:pPr>
    <w:rPr>
      <w:rFonts w:cstheme="minorHAnsi"/>
      <w:szCs w:val="20"/>
    </w:rPr>
  </w:style>
  <w:style w:type="paragraph" w:styleId="TOC5">
    <w:name w:val="toc 5"/>
    <w:basedOn w:val="Normal"/>
    <w:next w:val="Normal"/>
    <w:autoRedefine/>
    <w:uiPriority w:val="39"/>
    <w:unhideWhenUsed/>
    <w:rsid w:val="0094615A"/>
    <w:pPr>
      <w:spacing w:after="0"/>
      <w:ind w:left="960"/>
    </w:pPr>
    <w:rPr>
      <w:rFonts w:cstheme="minorHAnsi"/>
      <w:szCs w:val="20"/>
    </w:rPr>
  </w:style>
  <w:style w:type="paragraph" w:styleId="TOC6">
    <w:name w:val="toc 6"/>
    <w:basedOn w:val="Normal"/>
    <w:next w:val="Normal"/>
    <w:autoRedefine/>
    <w:uiPriority w:val="39"/>
    <w:unhideWhenUsed/>
    <w:rsid w:val="0094615A"/>
    <w:pPr>
      <w:spacing w:after="0"/>
      <w:ind w:left="1200"/>
    </w:pPr>
    <w:rPr>
      <w:rFonts w:cstheme="minorHAnsi"/>
      <w:szCs w:val="20"/>
    </w:rPr>
  </w:style>
  <w:style w:type="paragraph" w:styleId="TOC7">
    <w:name w:val="toc 7"/>
    <w:basedOn w:val="Normal"/>
    <w:next w:val="Normal"/>
    <w:autoRedefine/>
    <w:uiPriority w:val="39"/>
    <w:unhideWhenUsed/>
    <w:rsid w:val="0094615A"/>
    <w:pPr>
      <w:spacing w:after="0"/>
      <w:ind w:left="1440"/>
    </w:pPr>
    <w:rPr>
      <w:rFonts w:cstheme="minorHAnsi"/>
      <w:szCs w:val="20"/>
    </w:rPr>
  </w:style>
  <w:style w:type="paragraph" w:styleId="TOC8">
    <w:name w:val="toc 8"/>
    <w:basedOn w:val="Normal"/>
    <w:next w:val="Normal"/>
    <w:autoRedefine/>
    <w:uiPriority w:val="39"/>
    <w:unhideWhenUsed/>
    <w:rsid w:val="0094615A"/>
    <w:pPr>
      <w:spacing w:after="0"/>
      <w:ind w:left="1680"/>
    </w:pPr>
    <w:rPr>
      <w:rFonts w:cstheme="minorHAnsi"/>
      <w:szCs w:val="20"/>
    </w:rPr>
  </w:style>
  <w:style w:type="paragraph" w:styleId="TOC9">
    <w:name w:val="toc 9"/>
    <w:basedOn w:val="Normal"/>
    <w:next w:val="Normal"/>
    <w:autoRedefine/>
    <w:uiPriority w:val="39"/>
    <w:unhideWhenUsed/>
    <w:rsid w:val="001836E2"/>
    <w:pPr>
      <w:spacing w:after="0"/>
      <w:ind w:left="1920"/>
    </w:pPr>
    <w:rPr>
      <w:rFonts w:cstheme="minorHAnsi"/>
      <w:szCs w:val="20"/>
    </w:rPr>
  </w:style>
  <w:style w:type="paragraph" w:styleId="TOCHeading">
    <w:name w:val="TOC Heading"/>
    <w:basedOn w:val="Heading1"/>
    <w:next w:val="Normal"/>
    <w:uiPriority w:val="39"/>
    <w:unhideWhenUsed/>
    <w:qFormat/>
    <w:rsid w:val="00FC1E60"/>
    <w:pPr>
      <w:spacing w:before="480" w:after="0" w:line="276" w:lineRule="auto"/>
      <w:outlineLvl w:val="9"/>
    </w:pPr>
    <w:rPr>
      <w:sz w:val="44"/>
      <w:szCs w:val="28"/>
      <w:lang w:val="en-US"/>
    </w:rPr>
  </w:style>
  <w:style w:type="paragraph" w:styleId="Revision">
    <w:name w:val="Revision"/>
    <w:hidden/>
    <w:uiPriority w:val="99"/>
    <w:semiHidden/>
    <w:rsid w:val="002543FB"/>
  </w:style>
  <w:style w:type="paragraph" w:styleId="FootnoteText">
    <w:name w:val="footnote text"/>
    <w:basedOn w:val="Normal"/>
    <w:link w:val="FootnoteTextChar"/>
    <w:uiPriority w:val="99"/>
    <w:semiHidden/>
    <w:unhideWhenUsed/>
    <w:rsid w:val="005F56F7"/>
    <w:pPr>
      <w:spacing w:after="0"/>
    </w:pPr>
    <w:rPr>
      <w:sz w:val="20"/>
      <w:szCs w:val="20"/>
    </w:rPr>
  </w:style>
  <w:style w:type="character" w:customStyle="1" w:styleId="FootnoteTextChar">
    <w:name w:val="Footnote Text Char"/>
    <w:basedOn w:val="DefaultParagraphFont"/>
    <w:link w:val="FootnoteText"/>
    <w:uiPriority w:val="99"/>
    <w:semiHidden/>
    <w:rsid w:val="005F56F7"/>
    <w:rPr>
      <w:sz w:val="20"/>
      <w:szCs w:val="20"/>
    </w:rPr>
  </w:style>
  <w:style w:type="character" w:styleId="FootnoteReference">
    <w:name w:val="footnote reference"/>
    <w:basedOn w:val="DefaultParagraphFont"/>
    <w:uiPriority w:val="99"/>
    <w:semiHidden/>
    <w:unhideWhenUsed/>
    <w:rsid w:val="005F56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61130">
      <w:bodyDiv w:val="1"/>
      <w:marLeft w:val="0"/>
      <w:marRight w:val="0"/>
      <w:marTop w:val="0"/>
      <w:marBottom w:val="0"/>
      <w:divBdr>
        <w:top w:val="none" w:sz="0" w:space="0" w:color="auto"/>
        <w:left w:val="none" w:sz="0" w:space="0" w:color="auto"/>
        <w:bottom w:val="none" w:sz="0" w:space="0" w:color="auto"/>
        <w:right w:val="none" w:sz="0" w:space="0" w:color="auto"/>
      </w:divBdr>
    </w:div>
    <w:div w:id="166601130">
      <w:bodyDiv w:val="1"/>
      <w:marLeft w:val="0"/>
      <w:marRight w:val="0"/>
      <w:marTop w:val="0"/>
      <w:marBottom w:val="0"/>
      <w:divBdr>
        <w:top w:val="none" w:sz="0" w:space="0" w:color="auto"/>
        <w:left w:val="none" w:sz="0" w:space="0" w:color="auto"/>
        <w:bottom w:val="none" w:sz="0" w:space="0" w:color="auto"/>
        <w:right w:val="none" w:sz="0" w:space="0" w:color="auto"/>
      </w:divBdr>
      <w:divsChild>
        <w:div w:id="1751806234">
          <w:marLeft w:val="720"/>
          <w:marRight w:val="0"/>
          <w:marTop w:val="0"/>
          <w:marBottom w:val="0"/>
          <w:divBdr>
            <w:top w:val="none" w:sz="0" w:space="0" w:color="auto"/>
            <w:left w:val="none" w:sz="0" w:space="0" w:color="auto"/>
            <w:bottom w:val="none" w:sz="0" w:space="0" w:color="auto"/>
            <w:right w:val="none" w:sz="0" w:space="0" w:color="auto"/>
          </w:divBdr>
        </w:div>
      </w:divsChild>
    </w:div>
    <w:div w:id="236671764">
      <w:bodyDiv w:val="1"/>
      <w:marLeft w:val="0"/>
      <w:marRight w:val="0"/>
      <w:marTop w:val="0"/>
      <w:marBottom w:val="0"/>
      <w:divBdr>
        <w:top w:val="none" w:sz="0" w:space="0" w:color="auto"/>
        <w:left w:val="none" w:sz="0" w:space="0" w:color="auto"/>
        <w:bottom w:val="none" w:sz="0" w:space="0" w:color="auto"/>
        <w:right w:val="none" w:sz="0" w:space="0" w:color="auto"/>
      </w:divBdr>
      <w:divsChild>
        <w:div w:id="1742679009">
          <w:marLeft w:val="1282"/>
          <w:marRight w:val="0"/>
          <w:marTop w:val="0"/>
          <w:marBottom w:val="0"/>
          <w:divBdr>
            <w:top w:val="none" w:sz="0" w:space="0" w:color="auto"/>
            <w:left w:val="none" w:sz="0" w:space="0" w:color="auto"/>
            <w:bottom w:val="none" w:sz="0" w:space="0" w:color="auto"/>
            <w:right w:val="none" w:sz="0" w:space="0" w:color="auto"/>
          </w:divBdr>
        </w:div>
        <w:div w:id="856575725">
          <w:marLeft w:val="1282"/>
          <w:marRight w:val="0"/>
          <w:marTop w:val="0"/>
          <w:marBottom w:val="0"/>
          <w:divBdr>
            <w:top w:val="none" w:sz="0" w:space="0" w:color="auto"/>
            <w:left w:val="none" w:sz="0" w:space="0" w:color="auto"/>
            <w:bottom w:val="none" w:sz="0" w:space="0" w:color="auto"/>
            <w:right w:val="none" w:sz="0" w:space="0" w:color="auto"/>
          </w:divBdr>
        </w:div>
        <w:div w:id="1734086032">
          <w:marLeft w:val="1282"/>
          <w:marRight w:val="0"/>
          <w:marTop w:val="0"/>
          <w:marBottom w:val="0"/>
          <w:divBdr>
            <w:top w:val="none" w:sz="0" w:space="0" w:color="auto"/>
            <w:left w:val="none" w:sz="0" w:space="0" w:color="auto"/>
            <w:bottom w:val="none" w:sz="0" w:space="0" w:color="auto"/>
            <w:right w:val="none" w:sz="0" w:space="0" w:color="auto"/>
          </w:divBdr>
        </w:div>
        <w:div w:id="1062218541">
          <w:marLeft w:val="1282"/>
          <w:marRight w:val="0"/>
          <w:marTop w:val="0"/>
          <w:marBottom w:val="0"/>
          <w:divBdr>
            <w:top w:val="none" w:sz="0" w:space="0" w:color="auto"/>
            <w:left w:val="none" w:sz="0" w:space="0" w:color="auto"/>
            <w:bottom w:val="none" w:sz="0" w:space="0" w:color="auto"/>
            <w:right w:val="none" w:sz="0" w:space="0" w:color="auto"/>
          </w:divBdr>
        </w:div>
        <w:div w:id="235364751">
          <w:marLeft w:val="1282"/>
          <w:marRight w:val="0"/>
          <w:marTop w:val="0"/>
          <w:marBottom w:val="0"/>
          <w:divBdr>
            <w:top w:val="none" w:sz="0" w:space="0" w:color="auto"/>
            <w:left w:val="none" w:sz="0" w:space="0" w:color="auto"/>
            <w:bottom w:val="none" w:sz="0" w:space="0" w:color="auto"/>
            <w:right w:val="none" w:sz="0" w:space="0" w:color="auto"/>
          </w:divBdr>
        </w:div>
        <w:div w:id="173765240">
          <w:marLeft w:val="1282"/>
          <w:marRight w:val="0"/>
          <w:marTop w:val="0"/>
          <w:marBottom w:val="0"/>
          <w:divBdr>
            <w:top w:val="none" w:sz="0" w:space="0" w:color="auto"/>
            <w:left w:val="none" w:sz="0" w:space="0" w:color="auto"/>
            <w:bottom w:val="none" w:sz="0" w:space="0" w:color="auto"/>
            <w:right w:val="none" w:sz="0" w:space="0" w:color="auto"/>
          </w:divBdr>
        </w:div>
      </w:divsChild>
    </w:div>
    <w:div w:id="937249029">
      <w:bodyDiv w:val="1"/>
      <w:marLeft w:val="0"/>
      <w:marRight w:val="0"/>
      <w:marTop w:val="0"/>
      <w:marBottom w:val="0"/>
      <w:divBdr>
        <w:top w:val="none" w:sz="0" w:space="0" w:color="auto"/>
        <w:left w:val="none" w:sz="0" w:space="0" w:color="auto"/>
        <w:bottom w:val="none" w:sz="0" w:space="0" w:color="auto"/>
        <w:right w:val="none" w:sz="0" w:space="0" w:color="auto"/>
      </w:divBdr>
    </w:div>
    <w:div w:id="125189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bc_templates\British%20Council%20-%20Purple\Document_2022.dotx" TargetMode="External"/></Relationships>
</file>

<file path=word/theme/theme1.xml><?xml version="1.0" encoding="utf-8"?>
<a:theme xmlns:a="http://schemas.openxmlformats.org/drawingml/2006/main" name="Office Theme">
  <a:themeElements>
    <a:clrScheme name="Global templates 2022 - purple">
      <a:dk1>
        <a:srgbClr val="000000"/>
      </a:dk1>
      <a:lt1>
        <a:srgbClr val="FFFFFF"/>
      </a:lt1>
      <a:dk2>
        <a:srgbClr val="230859"/>
      </a:dk2>
      <a:lt2>
        <a:srgbClr val="D3B8FF"/>
      </a:lt2>
      <a:accent1>
        <a:srgbClr val="B25EFF"/>
      </a:accent1>
      <a:accent2>
        <a:srgbClr val="00DCFF"/>
      </a:accent2>
      <a:accent3>
        <a:srgbClr val="FF00C8"/>
      </a:accent3>
      <a:accent4>
        <a:srgbClr val="5DEB4B"/>
      </a:accent4>
      <a:accent5>
        <a:srgbClr val="FF8200"/>
      </a:accent5>
      <a:accent6>
        <a:srgbClr val="EE0034"/>
      </a:accent6>
      <a:hlink>
        <a:srgbClr val="3344DD"/>
      </a:hlink>
      <a:folHlink>
        <a:srgbClr val="7716B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900B1-27DB-E645-AA12-863C36994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Document_2022</Template>
  <TotalTime>0</TotalTime>
  <Pages>5</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dc:creator>
  <cp:keywords/>
  <dc:description/>
  <cp:lastModifiedBy>Westbrook, Carolyn (E &amp; E)</cp:lastModifiedBy>
  <cp:revision>2</cp:revision>
  <cp:lastPrinted>2021-12-17T08:27:00Z</cp:lastPrinted>
  <dcterms:created xsi:type="dcterms:W3CDTF">2025-03-11T14:23:00Z</dcterms:created>
  <dcterms:modified xsi:type="dcterms:W3CDTF">2025-03-11T14:23:00Z</dcterms:modified>
</cp:coreProperties>
</file>